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461166" w14:textId="77777777" w:rsidR="001D5577" w:rsidRDefault="001D5577" w:rsidP="001D5577">
      <w:pPr>
        <w:spacing w:line="480" w:lineRule="auto"/>
        <w:contextualSpacing/>
        <w:jc w:val="center"/>
        <w:rPr>
          <w:rFonts w:ascii="Times New Roman" w:hAnsi="Times New Roman" w:cs="Times New Roman"/>
          <w:b/>
          <w:bCs/>
          <w:sz w:val="24"/>
          <w:szCs w:val="24"/>
        </w:rPr>
      </w:pPr>
    </w:p>
    <w:p w14:paraId="498A4919" w14:textId="77777777" w:rsidR="001D5577" w:rsidRDefault="001D5577" w:rsidP="001D5577">
      <w:pPr>
        <w:spacing w:line="480" w:lineRule="auto"/>
        <w:contextualSpacing/>
        <w:jc w:val="center"/>
        <w:rPr>
          <w:rFonts w:ascii="Times New Roman" w:hAnsi="Times New Roman" w:cs="Times New Roman"/>
          <w:b/>
          <w:bCs/>
          <w:sz w:val="24"/>
          <w:szCs w:val="24"/>
        </w:rPr>
      </w:pPr>
    </w:p>
    <w:p w14:paraId="3678B34A" w14:textId="77777777" w:rsidR="001D5577" w:rsidRDefault="001D5577" w:rsidP="001D5577">
      <w:pPr>
        <w:spacing w:line="480" w:lineRule="auto"/>
        <w:contextualSpacing/>
        <w:jc w:val="center"/>
        <w:rPr>
          <w:rFonts w:ascii="Times New Roman" w:hAnsi="Times New Roman" w:cs="Times New Roman"/>
          <w:b/>
          <w:bCs/>
          <w:sz w:val="24"/>
          <w:szCs w:val="24"/>
        </w:rPr>
      </w:pPr>
    </w:p>
    <w:p w14:paraId="48BB55DA" w14:textId="5923336D" w:rsidR="001D5577" w:rsidRDefault="001D5577" w:rsidP="001D5577">
      <w:pPr>
        <w:spacing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Bicinchoninic Acid (BCA) Protein Assay Method</w:t>
      </w:r>
    </w:p>
    <w:p w14:paraId="09E9B231" w14:textId="78DDD784" w:rsidR="001D5577" w:rsidRDefault="001D5577" w:rsidP="001D5577">
      <w:pPr>
        <w:spacing w:line="480" w:lineRule="auto"/>
        <w:contextualSpacing/>
        <w:jc w:val="center"/>
        <w:rPr>
          <w:rFonts w:ascii="Times New Roman" w:hAnsi="Times New Roman" w:cs="Times New Roman"/>
          <w:sz w:val="24"/>
          <w:szCs w:val="24"/>
        </w:rPr>
      </w:pPr>
    </w:p>
    <w:p w14:paraId="71A1CFF9" w14:textId="67B46862" w:rsidR="001D5577" w:rsidRDefault="001D5577" w:rsidP="001D5577">
      <w:pPr>
        <w:spacing w:line="480" w:lineRule="auto"/>
        <w:contextualSpacing/>
        <w:jc w:val="center"/>
        <w:rPr>
          <w:rFonts w:ascii="Times New Roman" w:hAnsi="Times New Roman" w:cs="Times New Roman"/>
          <w:sz w:val="24"/>
          <w:szCs w:val="24"/>
        </w:rPr>
      </w:pPr>
    </w:p>
    <w:p w14:paraId="0F156B38" w14:textId="6D3772D5" w:rsidR="001D5577" w:rsidRDefault="001D5577" w:rsidP="001D5577">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14:paraId="033D488C" w14:textId="5730B1FB" w:rsidR="001D5577" w:rsidRDefault="001D5577" w:rsidP="001D5577">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w:t>
      </w:r>
    </w:p>
    <w:p w14:paraId="40882EB7" w14:textId="7D27716E" w:rsidR="001D5577" w:rsidRDefault="001D5577" w:rsidP="001D5577">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Instructor </w:t>
      </w:r>
    </w:p>
    <w:p w14:paraId="00D4B10D" w14:textId="02B95F8B" w:rsidR="001D5577" w:rsidRDefault="001D5577" w:rsidP="001D5577">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Date </w:t>
      </w:r>
    </w:p>
    <w:p w14:paraId="1C9316E4" w14:textId="77777777" w:rsidR="001D5577" w:rsidRPr="001D5577" w:rsidRDefault="001D5577" w:rsidP="001D5577">
      <w:pPr>
        <w:spacing w:line="480" w:lineRule="auto"/>
        <w:contextualSpacing/>
        <w:jc w:val="center"/>
        <w:rPr>
          <w:rFonts w:ascii="Times New Roman" w:hAnsi="Times New Roman" w:cs="Times New Roman"/>
          <w:sz w:val="24"/>
          <w:szCs w:val="24"/>
        </w:rPr>
      </w:pPr>
    </w:p>
    <w:p w14:paraId="0852E8B4" w14:textId="77777777" w:rsidR="001D5577" w:rsidRDefault="001D5577" w:rsidP="001D5577">
      <w:pPr>
        <w:spacing w:line="480" w:lineRule="auto"/>
        <w:contextualSpacing/>
        <w:jc w:val="center"/>
        <w:rPr>
          <w:rFonts w:ascii="Times New Roman" w:hAnsi="Times New Roman" w:cs="Times New Roman"/>
          <w:b/>
          <w:bCs/>
          <w:sz w:val="24"/>
          <w:szCs w:val="24"/>
        </w:rPr>
      </w:pPr>
    </w:p>
    <w:p w14:paraId="0DE79312" w14:textId="4A96F1CC" w:rsidR="001D5577" w:rsidRDefault="001D5577">
      <w:pPr>
        <w:rPr>
          <w:rFonts w:ascii="Times New Roman" w:hAnsi="Times New Roman" w:cs="Times New Roman"/>
          <w:b/>
          <w:bCs/>
          <w:sz w:val="24"/>
          <w:szCs w:val="24"/>
        </w:rPr>
      </w:pPr>
    </w:p>
    <w:p w14:paraId="1BC7004B" w14:textId="3C630747" w:rsidR="001D5577" w:rsidRDefault="001D5577">
      <w:pPr>
        <w:rPr>
          <w:rFonts w:ascii="Times New Roman" w:hAnsi="Times New Roman" w:cs="Times New Roman"/>
          <w:b/>
          <w:bCs/>
          <w:sz w:val="24"/>
          <w:szCs w:val="24"/>
        </w:rPr>
      </w:pPr>
    </w:p>
    <w:p w14:paraId="3E1AF3F4" w14:textId="2B0DA438" w:rsidR="001D5577" w:rsidRDefault="001D5577">
      <w:pPr>
        <w:rPr>
          <w:rFonts w:ascii="Times New Roman" w:hAnsi="Times New Roman" w:cs="Times New Roman"/>
          <w:b/>
          <w:bCs/>
          <w:sz w:val="24"/>
          <w:szCs w:val="24"/>
        </w:rPr>
      </w:pPr>
    </w:p>
    <w:p w14:paraId="4561C43F" w14:textId="52B27ECD" w:rsidR="001D5577" w:rsidRDefault="001D5577">
      <w:pPr>
        <w:rPr>
          <w:rFonts w:ascii="Times New Roman" w:hAnsi="Times New Roman" w:cs="Times New Roman"/>
          <w:b/>
          <w:bCs/>
          <w:sz w:val="24"/>
          <w:szCs w:val="24"/>
        </w:rPr>
      </w:pPr>
    </w:p>
    <w:p w14:paraId="24B7571D" w14:textId="2895C8CE" w:rsidR="001D5577" w:rsidRDefault="001D5577">
      <w:pPr>
        <w:rPr>
          <w:rFonts w:ascii="Times New Roman" w:hAnsi="Times New Roman" w:cs="Times New Roman"/>
          <w:b/>
          <w:bCs/>
          <w:sz w:val="24"/>
          <w:szCs w:val="24"/>
        </w:rPr>
      </w:pPr>
    </w:p>
    <w:p w14:paraId="15455570" w14:textId="1FEB71EC" w:rsidR="001D5577" w:rsidRDefault="001D5577">
      <w:pPr>
        <w:rPr>
          <w:rFonts w:ascii="Times New Roman" w:hAnsi="Times New Roman" w:cs="Times New Roman"/>
          <w:b/>
          <w:bCs/>
          <w:sz w:val="24"/>
          <w:szCs w:val="24"/>
        </w:rPr>
      </w:pPr>
    </w:p>
    <w:p w14:paraId="267E221C" w14:textId="4FEF4890" w:rsidR="001D5577" w:rsidRDefault="001D5577">
      <w:pPr>
        <w:rPr>
          <w:rFonts w:ascii="Times New Roman" w:hAnsi="Times New Roman" w:cs="Times New Roman"/>
          <w:b/>
          <w:bCs/>
          <w:sz w:val="24"/>
          <w:szCs w:val="24"/>
        </w:rPr>
      </w:pPr>
    </w:p>
    <w:p w14:paraId="29BFA597" w14:textId="38404D33" w:rsidR="001D5577" w:rsidRDefault="001D5577">
      <w:pPr>
        <w:rPr>
          <w:rFonts w:ascii="Times New Roman" w:hAnsi="Times New Roman" w:cs="Times New Roman"/>
          <w:b/>
          <w:bCs/>
          <w:sz w:val="24"/>
          <w:szCs w:val="24"/>
        </w:rPr>
      </w:pPr>
    </w:p>
    <w:p w14:paraId="15DE71F9" w14:textId="11C72C23" w:rsidR="001D5577" w:rsidRDefault="001D5577">
      <w:pPr>
        <w:rPr>
          <w:rFonts w:ascii="Times New Roman" w:hAnsi="Times New Roman" w:cs="Times New Roman"/>
          <w:b/>
          <w:bCs/>
          <w:sz w:val="24"/>
          <w:szCs w:val="24"/>
        </w:rPr>
      </w:pPr>
    </w:p>
    <w:p w14:paraId="20F4E38E" w14:textId="6DCA71D6" w:rsidR="001D5577" w:rsidRDefault="001D5577">
      <w:pPr>
        <w:rPr>
          <w:rFonts w:ascii="Times New Roman" w:hAnsi="Times New Roman" w:cs="Times New Roman"/>
          <w:b/>
          <w:bCs/>
          <w:sz w:val="24"/>
          <w:szCs w:val="24"/>
        </w:rPr>
      </w:pPr>
    </w:p>
    <w:p w14:paraId="0A7E01E0" w14:textId="1F1AADD7" w:rsidR="001D5577" w:rsidRDefault="001D5577">
      <w:pPr>
        <w:rPr>
          <w:rFonts w:ascii="Times New Roman" w:hAnsi="Times New Roman" w:cs="Times New Roman"/>
          <w:b/>
          <w:bCs/>
          <w:sz w:val="24"/>
          <w:szCs w:val="24"/>
        </w:rPr>
      </w:pPr>
    </w:p>
    <w:p w14:paraId="5D8BE52C" w14:textId="5AE3C18B" w:rsidR="001D5577" w:rsidRDefault="001D5577">
      <w:pPr>
        <w:rPr>
          <w:rFonts w:ascii="Times New Roman" w:hAnsi="Times New Roman" w:cs="Times New Roman"/>
          <w:b/>
          <w:bCs/>
          <w:sz w:val="24"/>
          <w:szCs w:val="24"/>
        </w:rPr>
      </w:pPr>
    </w:p>
    <w:p w14:paraId="6E84D54C" w14:textId="78F7C2B6" w:rsidR="001D5577" w:rsidRDefault="001D5577">
      <w:pPr>
        <w:rPr>
          <w:rFonts w:ascii="Times New Roman" w:hAnsi="Times New Roman" w:cs="Times New Roman"/>
          <w:b/>
          <w:bCs/>
          <w:sz w:val="24"/>
          <w:szCs w:val="24"/>
        </w:rPr>
      </w:pPr>
    </w:p>
    <w:p w14:paraId="74A0E18F" w14:textId="77777777" w:rsidR="001D5577" w:rsidRDefault="001D5577">
      <w:pPr>
        <w:rPr>
          <w:rFonts w:ascii="Times New Roman" w:hAnsi="Times New Roman" w:cs="Times New Roman"/>
          <w:b/>
          <w:bCs/>
          <w:sz w:val="24"/>
          <w:szCs w:val="24"/>
        </w:rPr>
      </w:pPr>
    </w:p>
    <w:p w14:paraId="5412802B" w14:textId="55D956E6" w:rsidR="0007348D" w:rsidRPr="004377EA" w:rsidRDefault="0007348D" w:rsidP="004377EA">
      <w:pPr>
        <w:spacing w:line="480" w:lineRule="auto"/>
        <w:contextualSpacing/>
        <w:rPr>
          <w:rFonts w:ascii="Times New Roman" w:hAnsi="Times New Roman" w:cs="Times New Roman"/>
          <w:b/>
          <w:bCs/>
          <w:sz w:val="24"/>
          <w:szCs w:val="24"/>
        </w:rPr>
      </w:pPr>
      <w:r w:rsidRPr="004377EA">
        <w:rPr>
          <w:rFonts w:ascii="Times New Roman" w:hAnsi="Times New Roman" w:cs="Times New Roman"/>
          <w:b/>
          <w:bCs/>
          <w:sz w:val="24"/>
          <w:szCs w:val="24"/>
        </w:rPr>
        <w:lastRenderedPageBreak/>
        <w:t>Objective</w:t>
      </w:r>
    </w:p>
    <w:p w14:paraId="33A9D0FD" w14:textId="5FE736CC" w:rsidR="009A7D7C" w:rsidRPr="004377EA" w:rsidRDefault="0007348D" w:rsidP="001D5577">
      <w:pPr>
        <w:spacing w:line="480" w:lineRule="auto"/>
        <w:ind w:firstLine="720"/>
        <w:contextualSpacing/>
        <w:rPr>
          <w:rFonts w:ascii="Times New Roman" w:hAnsi="Times New Roman" w:cs="Times New Roman"/>
          <w:sz w:val="24"/>
          <w:szCs w:val="24"/>
        </w:rPr>
      </w:pPr>
      <w:r w:rsidRPr="004377EA">
        <w:rPr>
          <w:rFonts w:ascii="Times New Roman" w:hAnsi="Times New Roman" w:cs="Times New Roman"/>
          <w:sz w:val="24"/>
          <w:szCs w:val="24"/>
        </w:rPr>
        <w:t xml:space="preserve">To </w:t>
      </w:r>
      <w:r w:rsidR="009A7D7C" w:rsidRPr="004377EA">
        <w:rPr>
          <w:rFonts w:ascii="Times New Roman" w:hAnsi="Times New Roman" w:cs="Times New Roman"/>
          <w:sz w:val="24"/>
          <w:szCs w:val="24"/>
        </w:rPr>
        <w:t>determine the protein concentration in a protein sample of unknown concentration through the use of Bicinchoninic acid (BCA) assay technique.</w:t>
      </w:r>
    </w:p>
    <w:p w14:paraId="442E10D8" w14:textId="74569643" w:rsidR="009A7D7C" w:rsidRPr="004377EA" w:rsidRDefault="009A7D7C" w:rsidP="004377EA">
      <w:pPr>
        <w:spacing w:line="480" w:lineRule="auto"/>
        <w:contextualSpacing/>
        <w:rPr>
          <w:rFonts w:ascii="Times New Roman" w:hAnsi="Times New Roman" w:cs="Times New Roman"/>
          <w:b/>
          <w:bCs/>
          <w:sz w:val="24"/>
          <w:szCs w:val="24"/>
        </w:rPr>
      </w:pPr>
      <w:r w:rsidRPr="004377EA">
        <w:rPr>
          <w:rFonts w:ascii="Times New Roman" w:hAnsi="Times New Roman" w:cs="Times New Roman"/>
          <w:b/>
          <w:bCs/>
          <w:sz w:val="24"/>
          <w:szCs w:val="24"/>
        </w:rPr>
        <w:t>Introduction</w:t>
      </w:r>
    </w:p>
    <w:p w14:paraId="38CF8087" w14:textId="2E300DE7" w:rsidR="00F1545B" w:rsidRPr="004377EA" w:rsidRDefault="00F1545B" w:rsidP="004377EA">
      <w:pPr>
        <w:pStyle w:val="Default"/>
        <w:spacing w:line="480" w:lineRule="auto"/>
        <w:ind w:firstLine="720"/>
        <w:contextualSpacing/>
      </w:pPr>
      <w:r w:rsidRPr="004377EA">
        <w:t xml:space="preserve">The BCA assay of proteins is a detergent compatible formulation in which bicinchoninic acid is used for the quantification and detection of proteins in a sample. </w:t>
      </w:r>
      <w:r w:rsidR="00527051" w:rsidRPr="004377EA">
        <w:t>According to (</w:t>
      </w:r>
      <w:r w:rsidR="00527051" w:rsidRPr="004377EA">
        <w:rPr>
          <w:color w:val="222222"/>
          <w:shd w:val="clear" w:color="auto" w:fill="FFFFFF"/>
        </w:rPr>
        <w:t>Greenfield, 2018</w:t>
      </w:r>
      <w:r w:rsidR="00527051" w:rsidRPr="004377EA">
        <w:rPr>
          <w:color w:val="222222"/>
          <w:shd w:val="clear" w:color="auto" w:fill="FFFFFF"/>
        </w:rPr>
        <w:t>))</w:t>
      </w:r>
      <w:r w:rsidR="00527051" w:rsidRPr="004377EA">
        <w:t xml:space="preserve"> t</w:t>
      </w:r>
      <w:r w:rsidRPr="004377EA">
        <w:t xml:space="preserve">he technique is </w:t>
      </w:r>
      <w:r w:rsidR="008E6F36" w:rsidRPr="004377EA">
        <w:t xml:space="preserve">dependent </w:t>
      </w:r>
      <w:r w:rsidRPr="004377EA">
        <w:t>on the principle of reduction of copper II (</w:t>
      </w:r>
      <w:r w:rsidRPr="004377EA">
        <w:t>Cu+2</w:t>
      </w:r>
      <w:r w:rsidRPr="004377EA">
        <w:t>)</w:t>
      </w:r>
      <w:r w:rsidRPr="004377EA">
        <w:t xml:space="preserve"> to </w:t>
      </w:r>
      <w:r w:rsidRPr="004377EA">
        <w:t>copper I (</w:t>
      </w:r>
      <w:r w:rsidRPr="004377EA">
        <w:t>Cu+</w:t>
      </w:r>
      <w:r w:rsidRPr="004377EA">
        <w:t>1) ions by a protein placed in a basic medium</w:t>
      </w:r>
      <w:r w:rsidR="003E66A7" w:rsidRPr="004377EA">
        <w:t xml:space="preserve"> and sensitive and selective calorimetric determination of Cu+1 by BCA containing </w:t>
      </w:r>
      <w:r w:rsidR="00594FF1" w:rsidRPr="004377EA">
        <w:t>reagents.</w:t>
      </w:r>
      <w:r w:rsidRPr="004377EA">
        <w:t xml:space="preserve"> The products of the reaction are usually purple in color and are formed as a result of one cuprous ion chelating with two </w:t>
      </w:r>
      <w:r w:rsidR="008E6F36" w:rsidRPr="004377EA">
        <w:t>BCA molecules. The complex formed is water soluble and has a higher absorbance at 562nm for which the values with be proportional to the concentration of the protein in the sample.</w:t>
      </w:r>
    </w:p>
    <w:p w14:paraId="679D35E2" w14:textId="1DF5865F" w:rsidR="008E6F36" w:rsidRPr="004377EA" w:rsidRDefault="008E6F36" w:rsidP="004377EA">
      <w:pPr>
        <w:pStyle w:val="Default"/>
        <w:spacing w:line="480" w:lineRule="auto"/>
        <w:ind w:firstLine="720"/>
        <w:contextualSpacing/>
      </w:pPr>
      <w:r w:rsidRPr="004377EA">
        <w:t>The purple color formation with BCA is believed to be due to the</w:t>
      </w:r>
      <w:r w:rsidR="00CA6C6C" w:rsidRPr="004377EA">
        <w:t xml:space="preserve"> existence of four amino particular amino acids, the number of </w:t>
      </w:r>
      <w:proofErr w:type="gramStart"/>
      <w:r w:rsidR="00CA6C6C" w:rsidRPr="004377EA">
        <w:t>peptide</w:t>
      </w:r>
      <w:proofErr w:type="gramEnd"/>
      <w:r w:rsidR="00CA6C6C" w:rsidRPr="004377EA">
        <w:t xml:space="preserve"> bonds an the macromolecular protein structure</w:t>
      </w:r>
      <w:r w:rsidR="00527051" w:rsidRPr="004377EA">
        <w:t xml:space="preserve"> (Yang et al., 2018)</w:t>
      </w:r>
      <w:r w:rsidR="00CA6C6C" w:rsidRPr="004377EA">
        <w:t xml:space="preserve">. The content of protein in the sample is always detected from a reference point of bovine serum which is used as the standard solution during the experiment. This standard solution is used to construct a standard curve from which the values of absorbance are plotted against the concentration. </w:t>
      </w:r>
    </w:p>
    <w:p w14:paraId="4B61B9B3" w14:textId="7824EAE7" w:rsidR="00CA6C6C" w:rsidRPr="004377EA" w:rsidRDefault="00CA6C6C" w:rsidP="004377EA">
      <w:pPr>
        <w:pStyle w:val="Default"/>
        <w:spacing w:line="480" w:lineRule="auto"/>
        <w:ind w:firstLine="720"/>
        <w:contextualSpacing/>
      </w:pPr>
      <w:r w:rsidRPr="004377EA">
        <w:t>Since the determination is reliant on the plotting of another substance, it is always advisable to use a standard solution whose properties and behavior is similar to that of the sample protein</w:t>
      </w:r>
      <w:r w:rsidR="00527051" w:rsidRPr="004377EA">
        <w:t xml:space="preserve"> </w:t>
      </w:r>
      <w:r w:rsidR="00527051" w:rsidRPr="004377EA">
        <w:t>(</w:t>
      </w:r>
      <w:r w:rsidR="00527051" w:rsidRPr="004377EA">
        <w:rPr>
          <w:color w:val="222222"/>
          <w:shd w:val="clear" w:color="auto" w:fill="FFFFFF"/>
        </w:rPr>
        <w:t>López C. et al., 2020)</w:t>
      </w:r>
      <w:r w:rsidRPr="004377EA">
        <w:t xml:space="preserve">. The absorbance of a particular substance is always directly proportional to the concentration, path length and the </w:t>
      </w:r>
      <w:r w:rsidR="003E66A7" w:rsidRPr="004377EA">
        <w:t xml:space="preserve">molar absorptivity of the substance. Since the path length and absorptivity remain at a constant, it will be observed that the </w:t>
      </w:r>
      <w:r w:rsidR="003E66A7" w:rsidRPr="004377EA">
        <w:lastRenderedPageBreak/>
        <w:t xml:space="preserve">absorbance will be proportional to the changing concentration. This is the Beer Lambert’s law and the graph of the plots is usually a straight line from the origin. It therefore remains that, to obtain the unknown concentration from the graph, we can use extrapolation or we calculate using y=mx + c which is the equation for the graph. </w:t>
      </w:r>
    </w:p>
    <w:p w14:paraId="5021EAE2" w14:textId="2D0386ED" w:rsidR="009A7D7C" w:rsidRPr="004377EA" w:rsidRDefault="006A3942" w:rsidP="004377EA">
      <w:pPr>
        <w:spacing w:line="480" w:lineRule="auto"/>
        <w:contextualSpacing/>
        <w:rPr>
          <w:rFonts w:ascii="Times New Roman" w:hAnsi="Times New Roman" w:cs="Times New Roman"/>
          <w:b/>
          <w:bCs/>
          <w:sz w:val="24"/>
          <w:szCs w:val="24"/>
        </w:rPr>
      </w:pPr>
      <w:r w:rsidRPr="004377EA">
        <w:rPr>
          <w:rFonts w:ascii="Times New Roman" w:hAnsi="Times New Roman" w:cs="Times New Roman"/>
          <w:b/>
          <w:bCs/>
          <w:sz w:val="24"/>
          <w:szCs w:val="24"/>
        </w:rPr>
        <w:t>Materials</w:t>
      </w:r>
    </w:p>
    <w:p w14:paraId="7B5BF4B5" w14:textId="6906418E" w:rsidR="006A3942" w:rsidRPr="004377EA" w:rsidRDefault="00B34E82"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Pipettes</w:t>
      </w:r>
    </w:p>
    <w:p w14:paraId="4DE3F767" w14:textId="68153449" w:rsidR="00B34E82" w:rsidRPr="004377EA" w:rsidRDefault="00B34E82"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Microplate wells</w:t>
      </w:r>
    </w:p>
    <w:p w14:paraId="1083B914" w14:textId="1DD070EB" w:rsidR="00B34E82" w:rsidRPr="004377EA" w:rsidRDefault="00B34E82"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 xml:space="preserve">Spectrometer </w:t>
      </w:r>
    </w:p>
    <w:p w14:paraId="6088BBF7" w14:textId="4BBDD5C7" w:rsidR="00200D3A" w:rsidRPr="004377EA" w:rsidRDefault="00200D3A"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Test tubes</w:t>
      </w:r>
    </w:p>
    <w:p w14:paraId="4CBF0963" w14:textId="69E86E11" w:rsidR="006E51B1" w:rsidRPr="004377EA" w:rsidRDefault="006E51B1"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Cuvettes</w:t>
      </w:r>
    </w:p>
    <w:p w14:paraId="68BFA7DC" w14:textId="70D7BBE1" w:rsidR="00B34E82" w:rsidRPr="004377EA" w:rsidRDefault="00B34E82"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Bicinchoninic acid (BCA)</w:t>
      </w:r>
    </w:p>
    <w:p w14:paraId="1F4FA345" w14:textId="7455F200" w:rsidR="00B34E82" w:rsidRPr="004377EA" w:rsidRDefault="00B34E82"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Bovine serum albumin (BSA)</w:t>
      </w:r>
    </w:p>
    <w:p w14:paraId="09711E4E" w14:textId="0611FCF0" w:rsidR="00B34E82" w:rsidRPr="004377EA" w:rsidRDefault="0081332D" w:rsidP="004377EA">
      <w:pPr>
        <w:spacing w:line="480" w:lineRule="auto"/>
        <w:contextualSpacing/>
        <w:rPr>
          <w:rFonts w:ascii="Times New Roman" w:hAnsi="Times New Roman" w:cs="Times New Roman"/>
          <w:b/>
          <w:bCs/>
          <w:sz w:val="24"/>
          <w:szCs w:val="24"/>
        </w:rPr>
      </w:pPr>
      <w:r w:rsidRPr="004377EA">
        <w:rPr>
          <w:rFonts w:ascii="Times New Roman" w:hAnsi="Times New Roman" w:cs="Times New Roman"/>
          <w:b/>
          <w:bCs/>
          <w:sz w:val="24"/>
          <w:szCs w:val="24"/>
        </w:rPr>
        <w:t>Methods</w:t>
      </w:r>
    </w:p>
    <w:p w14:paraId="3F36C45B" w14:textId="77777777" w:rsidR="00B34E82" w:rsidRPr="004377EA" w:rsidRDefault="00B34E82" w:rsidP="004377EA">
      <w:pPr>
        <w:spacing w:line="480" w:lineRule="auto"/>
        <w:contextualSpacing/>
        <w:rPr>
          <w:rFonts w:ascii="Times New Roman" w:hAnsi="Times New Roman" w:cs="Times New Roman"/>
          <w:b/>
          <w:bCs/>
          <w:sz w:val="24"/>
          <w:szCs w:val="24"/>
        </w:rPr>
      </w:pPr>
      <w:r w:rsidRPr="004377EA">
        <w:rPr>
          <w:rFonts w:ascii="Times New Roman" w:hAnsi="Times New Roman" w:cs="Times New Roman"/>
          <w:b/>
          <w:bCs/>
          <w:sz w:val="24"/>
          <w:szCs w:val="24"/>
        </w:rPr>
        <w:t>Creation of a standard curve</w:t>
      </w:r>
    </w:p>
    <w:p w14:paraId="7A5A5340" w14:textId="3DF8725E" w:rsidR="0007348D" w:rsidRPr="004377EA" w:rsidRDefault="003E66A7"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 xml:space="preserve">A standard curve was prepared using known concentrations of Bovine serum albumin. </w:t>
      </w:r>
    </w:p>
    <w:p w14:paraId="66922692" w14:textId="6C3ABCFF" w:rsidR="00C45FCE" w:rsidRPr="00C45FCE" w:rsidRDefault="00C45FCE" w:rsidP="004377EA">
      <w:pPr>
        <w:autoSpaceDE w:val="0"/>
        <w:autoSpaceDN w:val="0"/>
        <w:adjustRightInd w:val="0"/>
        <w:spacing w:after="0" w:line="480" w:lineRule="auto"/>
        <w:contextualSpacing/>
        <w:rPr>
          <w:rFonts w:ascii="Times New Roman" w:hAnsi="Times New Roman" w:cs="Times New Roman"/>
          <w:color w:val="000000"/>
          <w:sz w:val="24"/>
          <w:szCs w:val="24"/>
        </w:rPr>
      </w:pPr>
      <w:r w:rsidRPr="00C45FCE">
        <w:rPr>
          <w:rFonts w:ascii="Times New Roman" w:hAnsi="Times New Roman" w:cs="Times New Roman"/>
          <w:b/>
          <w:bCs/>
          <w:color w:val="000000"/>
          <w:sz w:val="24"/>
          <w:szCs w:val="24"/>
        </w:rPr>
        <w:t>Preparation of Standards and Working Reagen</w:t>
      </w:r>
      <w:r w:rsidRPr="004377EA">
        <w:rPr>
          <w:rFonts w:ascii="Times New Roman" w:hAnsi="Times New Roman" w:cs="Times New Roman"/>
          <w:b/>
          <w:bCs/>
          <w:color w:val="000000"/>
          <w:sz w:val="24"/>
          <w:szCs w:val="24"/>
        </w:rPr>
        <w:t>ts</w:t>
      </w:r>
    </w:p>
    <w:p w14:paraId="7F4848AD" w14:textId="492BA60D" w:rsidR="00C45FCE" w:rsidRPr="004377EA" w:rsidRDefault="00C45FCE" w:rsidP="004377EA">
      <w:pPr>
        <w:pStyle w:val="ListParagraph"/>
        <w:numPr>
          <w:ilvl w:val="0"/>
          <w:numId w:val="1"/>
        </w:numPr>
        <w:spacing w:line="480" w:lineRule="auto"/>
        <w:rPr>
          <w:rFonts w:ascii="Times New Roman" w:hAnsi="Times New Roman" w:cs="Times New Roman"/>
          <w:b/>
          <w:bCs/>
          <w:color w:val="000000"/>
          <w:sz w:val="24"/>
          <w:szCs w:val="24"/>
        </w:rPr>
      </w:pPr>
      <w:r w:rsidRPr="004377EA">
        <w:rPr>
          <w:rFonts w:ascii="Times New Roman" w:hAnsi="Times New Roman" w:cs="Times New Roman"/>
          <w:b/>
          <w:bCs/>
          <w:color w:val="000000"/>
          <w:sz w:val="24"/>
          <w:szCs w:val="24"/>
        </w:rPr>
        <w:t>Preparation of Diluted Albumin (BSA) Standards</w:t>
      </w:r>
    </w:p>
    <w:p w14:paraId="315947FE" w14:textId="2F2A7934" w:rsidR="00C45FCE" w:rsidRPr="004377EA" w:rsidRDefault="00C45FCE"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 xml:space="preserve">Bovine serum albumin was extracted in </w:t>
      </w:r>
      <w:r w:rsidR="00DB3E96" w:rsidRPr="004377EA">
        <w:rPr>
          <w:rFonts w:ascii="Times New Roman" w:hAnsi="Times New Roman" w:cs="Times New Roman"/>
          <w:sz w:val="24"/>
          <w:szCs w:val="24"/>
        </w:rPr>
        <w:t>different volumes and placed into several clean vials. They were then diluted to produce standard of different concentrations.</w:t>
      </w:r>
    </w:p>
    <w:p w14:paraId="0B789F0E" w14:textId="195E297C" w:rsidR="00DB3E96" w:rsidRPr="004377EA" w:rsidRDefault="00DB3E96" w:rsidP="004377EA">
      <w:pPr>
        <w:pStyle w:val="ListParagraph"/>
        <w:numPr>
          <w:ilvl w:val="0"/>
          <w:numId w:val="1"/>
        </w:numPr>
        <w:spacing w:line="480" w:lineRule="auto"/>
        <w:rPr>
          <w:rFonts w:ascii="Times New Roman" w:hAnsi="Times New Roman" w:cs="Times New Roman"/>
          <w:b/>
          <w:bCs/>
          <w:sz w:val="24"/>
          <w:szCs w:val="24"/>
        </w:rPr>
      </w:pPr>
      <w:r w:rsidRPr="004377EA">
        <w:rPr>
          <w:rFonts w:ascii="Times New Roman" w:hAnsi="Times New Roman" w:cs="Times New Roman"/>
          <w:b/>
          <w:bCs/>
          <w:sz w:val="24"/>
          <w:szCs w:val="24"/>
        </w:rPr>
        <w:t>Preparation of the BCA Working Reagent (WR)</w:t>
      </w:r>
    </w:p>
    <w:p w14:paraId="12B302EF" w14:textId="18B6E607" w:rsidR="00200D3A" w:rsidRPr="004377EA" w:rsidRDefault="00DB3E96"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The total volume of the required working reagent was determined by the formula</w:t>
      </w:r>
      <w:r w:rsidR="00200D3A" w:rsidRPr="004377EA">
        <w:rPr>
          <w:rFonts w:ascii="Times New Roman" w:hAnsi="Times New Roman" w:cs="Times New Roman"/>
          <w:sz w:val="24"/>
          <w:szCs w:val="24"/>
        </w:rPr>
        <w:t xml:space="preserve">: </w:t>
      </w:r>
      <w:r w:rsidRPr="004377EA">
        <w:rPr>
          <w:rFonts w:ascii="Times New Roman" w:hAnsi="Times New Roman" w:cs="Times New Roman"/>
          <w:sz w:val="24"/>
          <w:szCs w:val="24"/>
        </w:rPr>
        <w:t>(# standards + # unknowns) × (# replicates) × (volume of WR per sample) = total volume WR require</w:t>
      </w:r>
      <w:r w:rsidR="00200D3A" w:rsidRPr="004377EA">
        <w:rPr>
          <w:rFonts w:ascii="Times New Roman" w:hAnsi="Times New Roman" w:cs="Times New Roman"/>
          <w:sz w:val="24"/>
          <w:szCs w:val="24"/>
        </w:rPr>
        <w:t xml:space="preserve">d. </w:t>
      </w:r>
      <w:r w:rsidRPr="004377EA">
        <w:rPr>
          <w:rFonts w:ascii="Times New Roman" w:hAnsi="Times New Roman" w:cs="Times New Roman"/>
          <w:sz w:val="24"/>
          <w:szCs w:val="24"/>
        </w:rPr>
        <w:t xml:space="preserve">It was </w:t>
      </w:r>
      <w:r w:rsidRPr="004377EA">
        <w:rPr>
          <w:rFonts w:ascii="Times New Roman" w:hAnsi="Times New Roman" w:cs="Times New Roman"/>
          <w:sz w:val="24"/>
          <w:szCs w:val="24"/>
        </w:rPr>
        <w:lastRenderedPageBreak/>
        <w:t xml:space="preserve">then prepared by mixing 50 parts </w:t>
      </w:r>
      <w:r w:rsidR="00200D3A" w:rsidRPr="004377EA">
        <w:rPr>
          <w:rFonts w:ascii="Times New Roman" w:hAnsi="Times New Roman" w:cs="Times New Roman"/>
          <w:sz w:val="24"/>
          <w:szCs w:val="24"/>
        </w:rPr>
        <w:t xml:space="preserve">of the BCA regent A with one part of BCA reagent B in the ratio of 50:1 for A: B. </w:t>
      </w:r>
    </w:p>
    <w:p w14:paraId="47D2C180" w14:textId="2FF5604C" w:rsidR="00200D3A" w:rsidRPr="004377EA" w:rsidRDefault="00200D3A" w:rsidP="004377EA">
      <w:pPr>
        <w:spacing w:line="480" w:lineRule="auto"/>
        <w:contextualSpacing/>
        <w:rPr>
          <w:rFonts w:ascii="Times New Roman" w:hAnsi="Times New Roman" w:cs="Times New Roman"/>
          <w:b/>
          <w:bCs/>
          <w:sz w:val="24"/>
          <w:szCs w:val="24"/>
        </w:rPr>
      </w:pPr>
      <w:r w:rsidRPr="004377EA">
        <w:rPr>
          <w:rFonts w:ascii="Times New Roman" w:hAnsi="Times New Roman" w:cs="Times New Roman"/>
          <w:b/>
          <w:bCs/>
          <w:sz w:val="24"/>
          <w:szCs w:val="24"/>
        </w:rPr>
        <w:t>Test-tube Procedure (Sample to WR ratio = 1:20)</w:t>
      </w:r>
    </w:p>
    <w:p w14:paraId="52C0AD85" w14:textId="77777777" w:rsidR="004377EA" w:rsidRDefault="00200D3A" w:rsidP="004377EA">
      <w:pPr>
        <w:spacing w:line="480" w:lineRule="auto"/>
        <w:ind w:firstLine="720"/>
        <w:contextualSpacing/>
        <w:rPr>
          <w:rFonts w:ascii="Times New Roman" w:hAnsi="Times New Roman" w:cs="Times New Roman"/>
          <w:sz w:val="24"/>
          <w:szCs w:val="24"/>
        </w:rPr>
      </w:pPr>
      <w:r w:rsidRPr="004377EA">
        <w:rPr>
          <w:rFonts w:ascii="Times New Roman" w:hAnsi="Times New Roman" w:cs="Times New Roman"/>
          <w:sz w:val="24"/>
          <w:szCs w:val="24"/>
        </w:rPr>
        <w:t xml:space="preserve">0.1ml of each standard and unknown sample replicate were pipetted into appropriately labelled test tubes. 2.0ml of the working reagent was then added into each test tubes and the contents were mixed properly. The tubes were covered and then incubated at </w:t>
      </w:r>
      <w:r w:rsidR="006E51B1" w:rsidRPr="004377EA">
        <w:rPr>
          <w:rFonts w:ascii="Times New Roman" w:hAnsi="Times New Roman" w:cs="Times New Roman"/>
          <w:sz w:val="24"/>
          <w:szCs w:val="24"/>
        </w:rPr>
        <w:t>37</w:t>
      </w:r>
      <w:r w:rsidR="006E51B1" w:rsidRPr="004377EA">
        <w:rPr>
          <w:rFonts w:ascii="Times New Roman" w:hAnsi="Times New Roman" w:cs="Times New Roman"/>
          <w:sz w:val="24"/>
          <w:szCs w:val="24"/>
          <w:vertAlign w:val="superscript"/>
        </w:rPr>
        <w:t>0</w:t>
      </w:r>
      <w:r w:rsidR="006E51B1" w:rsidRPr="004377EA">
        <w:rPr>
          <w:rFonts w:ascii="Times New Roman" w:hAnsi="Times New Roman" w:cs="Times New Roman"/>
          <w:sz w:val="24"/>
          <w:szCs w:val="24"/>
        </w:rPr>
        <w:t xml:space="preserve">c for 30 minutes. After incubation, the test tubes were then cooled to room temperature. The spectrophotometer was then set at 562nm and used to zero the instrument on a cuvette filled with water. Afterwards, the absorbance of all the test tubes were measured within 10 minutes. </w:t>
      </w:r>
    </w:p>
    <w:p w14:paraId="28DDDB47" w14:textId="2FC925EC" w:rsidR="006E51B1" w:rsidRPr="004377EA" w:rsidRDefault="00DF7536" w:rsidP="004377EA">
      <w:pPr>
        <w:spacing w:line="480" w:lineRule="auto"/>
        <w:ind w:firstLine="720"/>
        <w:contextualSpacing/>
        <w:rPr>
          <w:rFonts w:ascii="Times New Roman" w:hAnsi="Times New Roman" w:cs="Times New Roman"/>
          <w:sz w:val="24"/>
          <w:szCs w:val="24"/>
        </w:rPr>
      </w:pPr>
      <w:r w:rsidRPr="004377EA">
        <w:rPr>
          <w:rFonts w:ascii="Times New Roman" w:hAnsi="Times New Roman" w:cs="Times New Roman"/>
          <w:sz w:val="24"/>
          <w:szCs w:val="24"/>
        </w:rPr>
        <w:t>The absorbance of the blank replicates was then subtracted from each</w:t>
      </w:r>
      <w:r w:rsidR="006E51B1" w:rsidRPr="004377EA">
        <w:rPr>
          <w:rFonts w:ascii="Times New Roman" w:hAnsi="Times New Roman" w:cs="Times New Roman"/>
          <w:sz w:val="24"/>
          <w:szCs w:val="24"/>
        </w:rPr>
        <w:t xml:space="preserve"> average of the 562nm absorbance measurements </w:t>
      </w:r>
      <w:r w:rsidRPr="004377EA">
        <w:rPr>
          <w:rFonts w:ascii="Times New Roman" w:hAnsi="Times New Roman" w:cs="Times New Roman"/>
          <w:sz w:val="24"/>
          <w:szCs w:val="24"/>
        </w:rPr>
        <w:t xml:space="preserve">of standard and unknown sample replicates. A standard curve was prepared by plotting the average blank-corrected 562nm measurements for each BSA against the concentration in ug/ml. The standard curve was then used to determine the protein concentration of each unknown sample. </w:t>
      </w:r>
    </w:p>
    <w:p w14:paraId="38558B4C" w14:textId="6F593BA4" w:rsidR="007C69D0" w:rsidRPr="004377EA" w:rsidRDefault="007C69D0" w:rsidP="004377EA">
      <w:pPr>
        <w:spacing w:line="480" w:lineRule="auto"/>
        <w:contextualSpacing/>
        <w:rPr>
          <w:rFonts w:ascii="Times New Roman" w:hAnsi="Times New Roman" w:cs="Times New Roman"/>
          <w:b/>
          <w:bCs/>
          <w:sz w:val="24"/>
          <w:szCs w:val="24"/>
        </w:rPr>
      </w:pPr>
      <w:r w:rsidRPr="004377EA">
        <w:rPr>
          <w:rFonts w:ascii="Times New Roman" w:hAnsi="Times New Roman" w:cs="Times New Roman"/>
          <w:b/>
          <w:bCs/>
          <w:sz w:val="24"/>
          <w:szCs w:val="24"/>
        </w:rPr>
        <w:t xml:space="preserve">Results </w:t>
      </w:r>
    </w:p>
    <w:tbl>
      <w:tblPr>
        <w:tblStyle w:val="TableGrid"/>
        <w:tblW w:w="0" w:type="auto"/>
        <w:tblLook w:val="04A0" w:firstRow="1" w:lastRow="0" w:firstColumn="1" w:lastColumn="0" w:noHBand="0" w:noVBand="1"/>
      </w:tblPr>
      <w:tblGrid>
        <w:gridCol w:w="1870"/>
        <w:gridCol w:w="1870"/>
        <w:gridCol w:w="1870"/>
        <w:gridCol w:w="1870"/>
        <w:gridCol w:w="1870"/>
      </w:tblGrid>
      <w:tr w:rsidR="007C69D0" w:rsidRPr="004377EA" w14:paraId="541427BB" w14:textId="77777777" w:rsidTr="007C69D0">
        <w:tc>
          <w:tcPr>
            <w:tcW w:w="1870" w:type="dxa"/>
          </w:tcPr>
          <w:p w14:paraId="596A44B9"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standard concentration (ug/ml)</w:t>
            </w:r>
          </w:p>
        </w:tc>
        <w:tc>
          <w:tcPr>
            <w:tcW w:w="1870" w:type="dxa"/>
          </w:tcPr>
          <w:p w14:paraId="5CDB4A57"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abs 562nm replicate</w:t>
            </w:r>
          </w:p>
        </w:tc>
        <w:tc>
          <w:tcPr>
            <w:tcW w:w="1870" w:type="dxa"/>
          </w:tcPr>
          <w:p w14:paraId="63BFE357"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abs 562nm replicate</w:t>
            </w:r>
          </w:p>
        </w:tc>
        <w:tc>
          <w:tcPr>
            <w:tcW w:w="1870" w:type="dxa"/>
          </w:tcPr>
          <w:p w14:paraId="5381647C"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average</w:t>
            </w:r>
          </w:p>
        </w:tc>
        <w:tc>
          <w:tcPr>
            <w:tcW w:w="1870" w:type="dxa"/>
          </w:tcPr>
          <w:p w14:paraId="25F8C7C2"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average-blank</w:t>
            </w:r>
          </w:p>
        </w:tc>
      </w:tr>
      <w:tr w:rsidR="007C69D0" w:rsidRPr="004377EA" w14:paraId="16F9FEE7" w14:textId="77777777" w:rsidTr="007C69D0">
        <w:tc>
          <w:tcPr>
            <w:tcW w:w="1870" w:type="dxa"/>
          </w:tcPr>
          <w:p w14:paraId="24450B00"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w:t>
            </w:r>
          </w:p>
        </w:tc>
        <w:tc>
          <w:tcPr>
            <w:tcW w:w="1870" w:type="dxa"/>
          </w:tcPr>
          <w:p w14:paraId="07C3BF38"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0.091</w:t>
            </w:r>
          </w:p>
        </w:tc>
        <w:tc>
          <w:tcPr>
            <w:tcW w:w="1870" w:type="dxa"/>
          </w:tcPr>
          <w:p w14:paraId="7B8B6E01"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0.09</w:t>
            </w:r>
          </w:p>
        </w:tc>
        <w:tc>
          <w:tcPr>
            <w:tcW w:w="1870" w:type="dxa"/>
          </w:tcPr>
          <w:p w14:paraId="2F081214"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0.0905</w:t>
            </w:r>
          </w:p>
        </w:tc>
        <w:tc>
          <w:tcPr>
            <w:tcW w:w="1870" w:type="dxa"/>
          </w:tcPr>
          <w:p w14:paraId="63AA4A87"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w:t>
            </w:r>
          </w:p>
        </w:tc>
      </w:tr>
      <w:tr w:rsidR="007C69D0" w:rsidRPr="004377EA" w14:paraId="4FEA14D8" w14:textId="77777777" w:rsidTr="007C69D0">
        <w:tc>
          <w:tcPr>
            <w:tcW w:w="1870" w:type="dxa"/>
          </w:tcPr>
          <w:p w14:paraId="0FB49FF0"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25</w:t>
            </w:r>
          </w:p>
        </w:tc>
        <w:tc>
          <w:tcPr>
            <w:tcW w:w="1870" w:type="dxa"/>
          </w:tcPr>
          <w:p w14:paraId="1F68809F"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0.145</w:t>
            </w:r>
          </w:p>
        </w:tc>
        <w:tc>
          <w:tcPr>
            <w:tcW w:w="1870" w:type="dxa"/>
          </w:tcPr>
          <w:p w14:paraId="071B23B7"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0.139</w:t>
            </w:r>
          </w:p>
        </w:tc>
        <w:tc>
          <w:tcPr>
            <w:tcW w:w="1870" w:type="dxa"/>
          </w:tcPr>
          <w:p w14:paraId="3735CFB0"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0.142</w:t>
            </w:r>
          </w:p>
        </w:tc>
        <w:tc>
          <w:tcPr>
            <w:tcW w:w="1870" w:type="dxa"/>
          </w:tcPr>
          <w:p w14:paraId="266D7339"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0.0515</w:t>
            </w:r>
          </w:p>
        </w:tc>
      </w:tr>
      <w:tr w:rsidR="007C69D0" w:rsidRPr="004377EA" w14:paraId="3F3F9A1E" w14:textId="77777777" w:rsidTr="007C69D0">
        <w:tc>
          <w:tcPr>
            <w:tcW w:w="1870" w:type="dxa"/>
          </w:tcPr>
          <w:p w14:paraId="622E72B7"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125</w:t>
            </w:r>
          </w:p>
        </w:tc>
        <w:tc>
          <w:tcPr>
            <w:tcW w:w="1870" w:type="dxa"/>
          </w:tcPr>
          <w:p w14:paraId="2AF3C4ED"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0.28</w:t>
            </w:r>
          </w:p>
        </w:tc>
        <w:tc>
          <w:tcPr>
            <w:tcW w:w="1870" w:type="dxa"/>
          </w:tcPr>
          <w:p w14:paraId="64D687E5"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0.269</w:t>
            </w:r>
          </w:p>
        </w:tc>
        <w:tc>
          <w:tcPr>
            <w:tcW w:w="1870" w:type="dxa"/>
          </w:tcPr>
          <w:p w14:paraId="15284731"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0.2745</w:t>
            </w:r>
          </w:p>
        </w:tc>
        <w:tc>
          <w:tcPr>
            <w:tcW w:w="1870" w:type="dxa"/>
          </w:tcPr>
          <w:p w14:paraId="453FE4F6"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0.184</w:t>
            </w:r>
          </w:p>
        </w:tc>
      </w:tr>
      <w:tr w:rsidR="007C69D0" w:rsidRPr="004377EA" w14:paraId="35CD1D9F" w14:textId="77777777" w:rsidTr="007C69D0">
        <w:tc>
          <w:tcPr>
            <w:tcW w:w="1870" w:type="dxa"/>
          </w:tcPr>
          <w:p w14:paraId="06084832"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250</w:t>
            </w:r>
          </w:p>
        </w:tc>
        <w:tc>
          <w:tcPr>
            <w:tcW w:w="1870" w:type="dxa"/>
          </w:tcPr>
          <w:p w14:paraId="06C64ABC"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0.512</w:t>
            </w:r>
          </w:p>
        </w:tc>
        <w:tc>
          <w:tcPr>
            <w:tcW w:w="1870" w:type="dxa"/>
          </w:tcPr>
          <w:p w14:paraId="002DB3FD"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0.484</w:t>
            </w:r>
          </w:p>
        </w:tc>
        <w:tc>
          <w:tcPr>
            <w:tcW w:w="1870" w:type="dxa"/>
          </w:tcPr>
          <w:p w14:paraId="745EB265"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0.498</w:t>
            </w:r>
          </w:p>
        </w:tc>
        <w:tc>
          <w:tcPr>
            <w:tcW w:w="1870" w:type="dxa"/>
          </w:tcPr>
          <w:p w14:paraId="6FEEC374"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0.4075</w:t>
            </w:r>
          </w:p>
        </w:tc>
      </w:tr>
      <w:tr w:rsidR="007C69D0" w:rsidRPr="004377EA" w14:paraId="7A95AB98" w14:textId="77777777" w:rsidTr="007C69D0">
        <w:tc>
          <w:tcPr>
            <w:tcW w:w="1870" w:type="dxa"/>
          </w:tcPr>
          <w:p w14:paraId="18F62692"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500</w:t>
            </w:r>
          </w:p>
        </w:tc>
        <w:tc>
          <w:tcPr>
            <w:tcW w:w="1870" w:type="dxa"/>
          </w:tcPr>
          <w:p w14:paraId="36325F4B"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0.688</w:t>
            </w:r>
          </w:p>
        </w:tc>
        <w:tc>
          <w:tcPr>
            <w:tcW w:w="1870" w:type="dxa"/>
          </w:tcPr>
          <w:p w14:paraId="457E9930"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0.722</w:t>
            </w:r>
          </w:p>
        </w:tc>
        <w:tc>
          <w:tcPr>
            <w:tcW w:w="1870" w:type="dxa"/>
          </w:tcPr>
          <w:p w14:paraId="24C79138"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0.705</w:t>
            </w:r>
          </w:p>
        </w:tc>
        <w:tc>
          <w:tcPr>
            <w:tcW w:w="1870" w:type="dxa"/>
          </w:tcPr>
          <w:p w14:paraId="171ACF76"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0.6145</w:t>
            </w:r>
          </w:p>
        </w:tc>
      </w:tr>
      <w:tr w:rsidR="007C69D0" w:rsidRPr="004377EA" w14:paraId="3631E315" w14:textId="77777777" w:rsidTr="007C69D0">
        <w:tc>
          <w:tcPr>
            <w:tcW w:w="1870" w:type="dxa"/>
          </w:tcPr>
          <w:p w14:paraId="5AE4DC3B"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lastRenderedPageBreak/>
              <w:t>750</w:t>
            </w:r>
          </w:p>
        </w:tc>
        <w:tc>
          <w:tcPr>
            <w:tcW w:w="1870" w:type="dxa"/>
          </w:tcPr>
          <w:p w14:paraId="18E1A092"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0.985</w:t>
            </w:r>
          </w:p>
        </w:tc>
        <w:tc>
          <w:tcPr>
            <w:tcW w:w="1870" w:type="dxa"/>
          </w:tcPr>
          <w:p w14:paraId="22D9D26A"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0.736</w:t>
            </w:r>
          </w:p>
        </w:tc>
        <w:tc>
          <w:tcPr>
            <w:tcW w:w="1870" w:type="dxa"/>
          </w:tcPr>
          <w:p w14:paraId="1969EA07"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0.8605</w:t>
            </w:r>
          </w:p>
        </w:tc>
        <w:tc>
          <w:tcPr>
            <w:tcW w:w="1870" w:type="dxa"/>
          </w:tcPr>
          <w:p w14:paraId="0F43C6E4"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0.77</w:t>
            </w:r>
          </w:p>
        </w:tc>
      </w:tr>
      <w:tr w:rsidR="007C69D0" w:rsidRPr="004377EA" w14:paraId="61D98AD1" w14:textId="77777777" w:rsidTr="007C69D0">
        <w:tc>
          <w:tcPr>
            <w:tcW w:w="1870" w:type="dxa"/>
          </w:tcPr>
          <w:p w14:paraId="32E176B2"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1000</w:t>
            </w:r>
          </w:p>
        </w:tc>
        <w:tc>
          <w:tcPr>
            <w:tcW w:w="1870" w:type="dxa"/>
          </w:tcPr>
          <w:p w14:paraId="0E934AE2"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0.821</w:t>
            </w:r>
          </w:p>
        </w:tc>
        <w:tc>
          <w:tcPr>
            <w:tcW w:w="1870" w:type="dxa"/>
          </w:tcPr>
          <w:p w14:paraId="43AC66C4"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1.413</w:t>
            </w:r>
          </w:p>
        </w:tc>
        <w:tc>
          <w:tcPr>
            <w:tcW w:w="1870" w:type="dxa"/>
          </w:tcPr>
          <w:p w14:paraId="47EF3C8D"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1.117</w:t>
            </w:r>
          </w:p>
        </w:tc>
        <w:tc>
          <w:tcPr>
            <w:tcW w:w="1870" w:type="dxa"/>
          </w:tcPr>
          <w:p w14:paraId="3FF2D4C6"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1.0265</w:t>
            </w:r>
          </w:p>
        </w:tc>
      </w:tr>
      <w:tr w:rsidR="007C69D0" w:rsidRPr="004377EA" w14:paraId="360FC8E4" w14:textId="77777777" w:rsidTr="007C69D0">
        <w:tc>
          <w:tcPr>
            <w:tcW w:w="1870" w:type="dxa"/>
          </w:tcPr>
          <w:p w14:paraId="71AF5A6D"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1500</w:t>
            </w:r>
          </w:p>
        </w:tc>
        <w:tc>
          <w:tcPr>
            <w:tcW w:w="1870" w:type="dxa"/>
          </w:tcPr>
          <w:p w14:paraId="6F2CF404"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1.714</w:t>
            </w:r>
          </w:p>
        </w:tc>
        <w:tc>
          <w:tcPr>
            <w:tcW w:w="1870" w:type="dxa"/>
          </w:tcPr>
          <w:p w14:paraId="2A9A375D"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2.025</w:t>
            </w:r>
          </w:p>
        </w:tc>
        <w:tc>
          <w:tcPr>
            <w:tcW w:w="1870" w:type="dxa"/>
          </w:tcPr>
          <w:p w14:paraId="794AB2A3"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1.8695</w:t>
            </w:r>
          </w:p>
        </w:tc>
        <w:tc>
          <w:tcPr>
            <w:tcW w:w="1870" w:type="dxa"/>
          </w:tcPr>
          <w:p w14:paraId="41B41ED6"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1.779</w:t>
            </w:r>
          </w:p>
        </w:tc>
      </w:tr>
      <w:tr w:rsidR="007C69D0" w:rsidRPr="004377EA" w14:paraId="26AC5DC0" w14:textId="77777777" w:rsidTr="007C69D0">
        <w:tc>
          <w:tcPr>
            <w:tcW w:w="1870" w:type="dxa"/>
          </w:tcPr>
          <w:p w14:paraId="169AA1CE"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2000</w:t>
            </w:r>
          </w:p>
        </w:tc>
        <w:tc>
          <w:tcPr>
            <w:tcW w:w="1870" w:type="dxa"/>
          </w:tcPr>
          <w:p w14:paraId="453E208C"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2.175</w:t>
            </w:r>
          </w:p>
        </w:tc>
        <w:tc>
          <w:tcPr>
            <w:tcW w:w="1870" w:type="dxa"/>
          </w:tcPr>
          <w:p w14:paraId="7B7363FC"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2.278</w:t>
            </w:r>
          </w:p>
        </w:tc>
        <w:tc>
          <w:tcPr>
            <w:tcW w:w="1870" w:type="dxa"/>
          </w:tcPr>
          <w:p w14:paraId="14CFC58B"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2.2265</w:t>
            </w:r>
          </w:p>
        </w:tc>
        <w:tc>
          <w:tcPr>
            <w:tcW w:w="1870" w:type="dxa"/>
          </w:tcPr>
          <w:p w14:paraId="01DA16E1"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2.136</w:t>
            </w:r>
          </w:p>
        </w:tc>
      </w:tr>
      <w:tr w:rsidR="007C69D0" w:rsidRPr="004377EA" w14:paraId="69346D44" w14:textId="77777777" w:rsidTr="007C69D0">
        <w:tc>
          <w:tcPr>
            <w:tcW w:w="1870" w:type="dxa"/>
          </w:tcPr>
          <w:p w14:paraId="3D956871"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unknown 1/2</w:t>
            </w:r>
          </w:p>
        </w:tc>
        <w:tc>
          <w:tcPr>
            <w:tcW w:w="1870" w:type="dxa"/>
          </w:tcPr>
          <w:p w14:paraId="27D491CA"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0.426</w:t>
            </w:r>
          </w:p>
        </w:tc>
        <w:tc>
          <w:tcPr>
            <w:tcW w:w="1870" w:type="dxa"/>
          </w:tcPr>
          <w:p w14:paraId="20E9CAF3"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0.41</w:t>
            </w:r>
          </w:p>
        </w:tc>
        <w:tc>
          <w:tcPr>
            <w:tcW w:w="1870" w:type="dxa"/>
          </w:tcPr>
          <w:p w14:paraId="441B9A94"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0.418</w:t>
            </w:r>
          </w:p>
        </w:tc>
        <w:tc>
          <w:tcPr>
            <w:tcW w:w="1870" w:type="dxa"/>
          </w:tcPr>
          <w:p w14:paraId="7205F27C"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0.3275</w:t>
            </w:r>
          </w:p>
        </w:tc>
      </w:tr>
    </w:tbl>
    <w:p w14:paraId="2FD13953" w14:textId="402DAF5D" w:rsidR="007C69D0" w:rsidRPr="004377EA" w:rsidRDefault="000D2404"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The table above is the values for the standard concentration, replicate absorbances of the standard at 562nm, the average and then the average minus blank columns.</w:t>
      </w:r>
    </w:p>
    <w:tbl>
      <w:tblPr>
        <w:tblStyle w:val="TableGrid"/>
        <w:tblW w:w="0" w:type="auto"/>
        <w:tblLook w:val="04A0" w:firstRow="1" w:lastRow="0" w:firstColumn="1" w:lastColumn="0" w:noHBand="0" w:noVBand="1"/>
      </w:tblPr>
      <w:tblGrid>
        <w:gridCol w:w="4675"/>
        <w:gridCol w:w="4675"/>
      </w:tblGrid>
      <w:tr w:rsidR="007C69D0" w:rsidRPr="004377EA" w14:paraId="3A758DD4" w14:textId="77777777" w:rsidTr="007C69D0">
        <w:tc>
          <w:tcPr>
            <w:tcW w:w="4675" w:type="dxa"/>
          </w:tcPr>
          <w:p w14:paraId="76354A43"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standard concentration (ug/ml)</w:t>
            </w:r>
          </w:p>
        </w:tc>
        <w:tc>
          <w:tcPr>
            <w:tcW w:w="4675" w:type="dxa"/>
          </w:tcPr>
          <w:p w14:paraId="756EE5DF"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average-blank</w:t>
            </w:r>
          </w:p>
        </w:tc>
      </w:tr>
      <w:tr w:rsidR="007C69D0" w:rsidRPr="004377EA" w14:paraId="26E383A3" w14:textId="77777777" w:rsidTr="007C69D0">
        <w:tc>
          <w:tcPr>
            <w:tcW w:w="4675" w:type="dxa"/>
          </w:tcPr>
          <w:p w14:paraId="4ACED48F"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25</w:t>
            </w:r>
          </w:p>
        </w:tc>
        <w:tc>
          <w:tcPr>
            <w:tcW w:w="4675" w:type="dxa"/>
          </w:tcPr>
          <w:p w14:paraId="7BBD43EB"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0.0515</w:t>
            </w:r>
          </w:p>
        </w:tc>
      </w:tr>
      <w:tr w:rsidR="007C69D0" w:rsidRPr="004377EA" w14:paraId="53EB88C2" w14:textId="77777777" w:rsidTr="007C69D0">
        <w:tc>
          <w:tcPr>
            <w:tcW w:w="4675" w:type="dxa"/>
          </w:tcPr>
          <w:p w14:paraId="013DC209"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125</w:t>
            </w:r>
          </w:p>
        </w:tc>
        <w:tc>
          <w:tcPr>
            <w:tcW w:w="4675" w:type="dxa"/>
          </w:tcPr>
          <w:p w14:paraId="39498120"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0.184</w:t>
            </w:r>
          </w:p>
        </w:tc>
      </w:tr>
      <w:tr w:rsidR="007C69D0" w:rsidRPr="004377EA" w14:paraId="10E85A3B" w14:textId="77777777" w:rsidTr="007C69D0">
        <w:tc>
          <w:tcPr>
            <w:tcW w:w="4675" w:type="dxa"/>
          </w:tcPr>
          <w:p w14:paraId="0DEA6182"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250</w:t>
            </w:r>
          </w:p>
        </w:tc>
        <w:tc>
          <w:tcPr>
            <w:tcW w:w="4675" w:type="dxa"/>
          </w:tcPr>
          <w:p w14:paraId="73AB6255"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0.4075</w:t>
            </w:r>
          </w:p>
        </w:tc>
      </w:tr>
      <w:tr w:rsidR="007C69D0" w:rsidRPr="004377EA" w14:paraId="69D9E96A" w14:textId="77777777" w:rsidTr="007C69D0">
        <w:tc>
          <w:tcPr>
            <w:tcW w:w="4675" w:type="dxa"/>
          </w:tcPr>
          <w:p w14:paraId="3CDA4CF2"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500</w:t>
            </w:r>
          </w:p>
        </w:tc>
        <w:tc>
          <w:tcPr>
            <w:tcW w:w="4675" w:type="dxa"/>
          </w:tcPr>
          <w:p w14:paraId="1DC6ACA5"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0.6145</w:t>
            </w:r>
          </w:p>
        </w:tc>
      </w:tr>
      <w:tr w:rsidR="007C69D0" w:rsidRPr="004377EA" w14:paraId="0CFB62B2" w14:textId="77777777" w:rsidTr="007C69D0">
        <w:tc>
          <w:tcPr>
            <w:tcW w:w="4675" w:type="dxa"/>
          </w:tcPr>
          <w:p w14:paraId="67DC7F8A"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750</w:t>
            </w:r>
          </w:p>
        </w:tc>
        <w:tc>
          <w:tcPr>
            <w:tcW w:w="4675" w:type="dxa"/>
          </w:tcPr>
          <w:p w14:paraId="1115D0E4"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0.77</w:t>
            </w:r>
          </w:p>
        </w:tc>
      </w:tr>
      <w:tr w:rsidR="007C69D0" w:rsidRPr="004377EA" w14:paraId="1858C3B3" w14:textId="77777777" w:rsidTr="007C69D0">
        <w:tc>
          <w:tcPr>
            <w:tcW w:w="4675" w:type="dxa"/>
          </w:tcPr>
          <w:p w14:paraId="2305EC0E"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1000</w:t>
            </w:r>
          </w:p>
        </w:tc>
        <w:tc>
          <w:tcPr>
            <w:tcW w:w="4675" w:type="dxa"/>
          </w:tcPr>
          <w:p w14:paraId="353DA110"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1.0265</w:t>
            </w:r>
          </w:p>
        </w:tc>
      </w:tr>
      <w:tr w:rsidR="007C69D0" w:rsidRPr="004377EA" w14:paraId="2AF5D5EC" w14:textId="77777777" w:rsidTr="007C69D0">
        <w:tc>
          <w:tcPr>
            <w:tcW w:w="4675" w:type="dxa"/>
          </w:tcPr>
          <w:p w14:paraId="2058582F"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1500</w:t>
            </w:r>
          </w:p>
        </w:tc>
        <w:tc>
          <w:tcPr>
            <w:tcW w:w="4675" w:type="dxa"/>
          </w:tcPr>
          <w:p w14:paraId="783BD8B7"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1.779</w:t>
            </w:r>
          </w:p>
        </w:tc>
      </w:tr>
      <w:tr w:rsidR="007C69D0" w:rsidRPr="004377EA" w14:paraId="4AB386DB" w14:textId="77777777" w:rsidTr="007C69D0">
        <w:tc>
          <w:tcPr>
            <w:tcW w:w="4675" w:type="dxa"/>
          </w:tcPr>
          <w:p w14:paraId="341C98E0"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2000</w:t>
            </w:r>
          </w:p>
        </w:tc>
        <w:tc>
          <w:tcPr>
            <w:tcW w:w="4675" w:type="dxa"/>
          </w:tcPr>
          <w:p w14:paraId="4821908F"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2.136</w:t>
            </w:r>
          </w:p>
        </w:tc>
      </w:tr>
      <w:tr w:rsidR="007C69D0" w:rsidRPr="004377EA" w14:paraId="446434B8" w14:textId="77777777" w:rsidTr="007C69D0">
        <w:tc>
          <w:tcPr>
            <w:tcW w:w="4675" w:type="dxa"/>
          </w:tcPr>
          <w:p w14:paraId="64494F48" w14:textId="77777777" w:rsidR="007C69D0" w:rsidRPr="004377EA" w:rsidRDefault="007C69D0" w:rsidP="004377EA">
            <w:pPr>
              <w:spacing w:line="480" w:lineRule="auto"/>
              <w:contextualSpacing/>
              <w:rPr>
                <w:rFonts w:ascii="Times New Roman" w:hAnsi="Times New Roman" w:cs="Times New Roman"/>
                <w:sz w:val="24"/>
                <w:szCs w:val="24"/>
              </w:rPr>
            </w:pPr>
          </w:p>
        </w:tc>
        <w:tc>
          <w:tcPr>
            <w:tcW w:w="4675" w:type="dxa"/>
          </w:tcPr>
          <w:p w14:paraId="6B73612F" w14:textId="77777777"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0.3275</w:t>
            </w:r>
          </w:p>
        </w:tc>
      </w:tr>
    </w:tbl>
    <w:p w14:paraId="7E0DD553" w14:textId="29F057D7" w:rsidR="007C69D0" w:rsidRPr="004377EA" w:rsidRDefault="002E72E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 xml:space="preserve">Above entry is the data of the concentration of the standard (ug/ml) and the values for average absorbance of standard minus the absorbance of the </w:t>
      </w:r>
      <w:r w:rsidR="000D2404" w:rsidRPr="004377EA">
        <w:rPr>
          <w:rFonts w:ascii="Times New Roman" w:hAnsi="Times New Roman" w:cs="Times New Roman"/>
          <w:sz w:val="24"/>
          <w:szCs w:val="24"/>
        </w:rPr>
        <w:t xml:space="preserve">blank solution at 562nm. </w:t>
      </w:r>
    </w:p>
    <w:p w14:paraId="04669233" w14:textId="6D55D3F0" w:rsidR="00C650DB" w:rsidRPr="004377EA" w:rsidRDefault="00C650DB" w:rsidP="004377EA">
      <w:pPr>
        <w:spacing w:line="480" w:lineRule="auto"/>
        <w:contextualSpacing/>
        <w:rPr>
          <w:rFonts w:ascii="Times New Roman" w:hAnsi="Times New Roman" w:cs="Times New Roman"/>
          <w:sz w:val="24"/>
          <w:szCs w:val="24"/>
        </w:rPr>
      </w:pPr>
    </w:p>
    <w:tbl>
      <w:tblPr>
        <w:tblStyle w:val="TableGrid"/>
        <w:tblW w:w="0" w:type="auto"/>
        <w:tblInd w:w="-5" w:type="dxa"/>
        <w:tblLook w:val="04A0" w:firstRow="1" w:lastRow="0" w:firstColumn="1" w:lastColumn="0" w:noHBand="0" w:noVBand="1"/>
      </w:tblPr>
      <w:tblGrid>
        <w:gridCol w:w="1870"/>
        <w:gridCol w:w="1870"/>
        <w:gridCol w:w="1870"/>
        <w:gridCol w:w="1870"/>
        <w:gridCol w:w="1870"/>
      </w:tblGrid>
      <w:tr w:rsidR="00C650DB" w:rsidRPr="004377EA" w14:paraId="34CB56B7" w14:textId="77777777" w:rsidTr="00971EEF">
        <w:tc>
          <w:tcPr>
            <w:tcW w:w="1870" w:type="dxa"/>
          </w:tcPr>
          <w:p w14:paraId="5F4C7B98" w14:textId="77777777" w:rsidR="00C650DB" w:rsidRPr="004377EA" w:rsidRDefault="00C650DB" w:rsidP="004377EA">
            <w:pPr>
              <w:spacing w:line="480" w:lineRule="auto"/>
              <w:contextualSpacing/>
              <w:rPr>
                <w:rFonts w:ascii="Times New Roman" w:hAnsi="Times New Roman" w:cs="Times New Roman"/>
                <w:sz w:val="24"/>
                <w:szCs w:val="24"/>
              </w:rPr>
            </w:pPr>
          </w:p>
        </w:tc>
        <w:tc>
          <w:tcPr>
            <w:tcW w:w="1870" w:type="dxa"/>
          </w:tcPr>
          <w:p w14:paraId="142E547B" w14:textId="77777777" w:rsidR="00C650DB" w:rsidRPr="004377EA" w:rsidRDefault="00C650DB"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1</w:t>
            </w:r>
          </w:p>
        </w:tc>
        <w:tc>
          <w:tcPr>
            <w:tcW w:w="1870" w:type="dxa"/>
          </w:tcPr>
          <w:p w14:paraId="506BB97D" w14:textId="77777777" w:rsidR="00C650DB" w:rsidRPr="004377EA" w:rsidRDefault="00C650DB"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2</w:t>
            </w:r>
          </w:p>
        </w:tc>
        <w:tc>
          <w:tcPr>
            <w:tcW w:w="1870" w:type="dxa"/>
          </w:tcPr>
          <w:p w14:paraId="4FB7E333" w14:textId="77777777" w:rsidR="00C650DB" w:rsidRPr="004377EA" w:rsidRDefault="00C650DB"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3</w:t>
            </w:r>
          </w:p>
        </w:tc>
        <w:tc>
          <w:tcPr>
            <w:tcW w:w="1870" w:type="dxa"/>
          </w:tcPr>
          <w:p w14:paraId="5C93FFDB" w14:textId="77777777" w:rsidR="00C650DB" w:rsidRPr="004377EA" w:rsidRDefault="00C650DB"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4</w:t>
            </w:r>
          </w:p>
        </w:tc>
      </w:tr>
      <w:tr w:rsidR="00C650DB" w:rsidRPr="004377EA" w14:paraId="645DE16D" w14:textId="77777777" w:rsidTr="00971EEF">
        <w:tc>
          <w:tcPr>
            <w:tcW w:w="1870" w:type="dxa"/>
          </w:tcPr>
          <w:p w14:paraId="77CA825E" w14:textId="77777777" w:rsidR="00C650DB" w:rsidRPr="004377EA" w:rsidRDefault="00C650DB"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A</w:t>
            </w:r>
          </w:p>
        </w:tc>
        <w:tc>
          <w:tcPr>
            <w:tcW w:w="1870" w:type="dxa"/>
          </w:tcPr>
          <w:p w14:paraId="2EF852D3" w14:textId="77777777" w:rsidR="00C650DB" w:rsidRPr="004377EA" w:rsidRDefault="00C650DB"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2.175</w:t>
            </w:r>
          </w:p>
        </w:tc>
        <w:tc>
          <w:tcPr>
            <w:tcW w:w="1870" w:type="dxa"/>
          </w:tcPr>
          <w:p w14:paraId="078E3A1A" w14:textId="77777777" w:rsidR="00C650DB" w:rsidRPr="004377EA" w:rsidRDefault="00C650DB"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2.278</w:t>
            </w:r>
          </w:p>
        </w:tc>
        <w:tc>
          <w:tcPr>
            <w:tcW w:w="1870" w:type="dxa"/>
          </w:tcPr>
          <w:p w14:paraId="7657BBED" w14:textId="77777777" w:rsidR="00C650DB" w:rsidRPr="004377EA" w:rsidRDefault="00C650DB"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0.091</w:t>
            </w:r>
          </w:p>
        </w:tc>
        <w:tc>
          <w:tcPr>
            <w:tcW w:w="1870" w:type="dxa"/>
          </w:tcPr>
          <w:p w14:paraId="1ED1740D" w14:textId="77777777" w:rsidR="00C650DB" w:rsidRPr="004377EA" w:rsidRDefault="00C650DB"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0.09</w:t>
            </w:r>
          </w:p>
        </w:tc>
      </w:tr>
      <w:tr w:rsidR="00C650DB" w:rsidRPr="004377EA" w14:paraId="50FA3074" w14:textId="77777777" w:rsidTr="00971EEF">
        <w:tc>
          <w:tcPr>
            <w:tcW w:w="1870" w:type="dxa"/>
          </w:tcPr>
          <w:p w14:paraId="009DF01D" w14:textId="77777777" w:rsidR="00C650DB" w:rsidRPr="004377EA" w:rsidRDefault="00C650DB"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B</w:t>
            </w:r>
          </w:p>
        </w:tc>
        <w:tc>
          <w:tcPr>
            <w:tcW w:w="1870" w:type="dxa"/>
          </w:tcPr>
          <w:p w14:paraId="46113006" w14:textId="77777777" w:rsidR="00C650DB" w:rsidRPr="004377EA" w:rsidRDefault="00C650DB"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1.714</w:t>
            </w:r>
          </w:p>
        </w:tc>
        <w:tc>
          <w:tcPr>
            <w:tcW w:w="1870" w:type="dxa"/>
          </w:tcPr>
          <w:p w14:paraId="1C6C2575" w14:textId="77777777" w:rsidR="00C650DB" w:rsidRPr="004377EA" w:rsidRDefault="00C650DB"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2.025</w:t>
            </w:r>
          </w:p>
        </w:tc>
        <w:tc>
          <w:tcPr>
            <w:tcW w:w="1870" w:type="dxa"/>
          </w:tcPr>
          <w:p w14:paraId="7BE5BF2F" w14:textId="77777777" w:rsidR="00C650DB" w:rsidRPr="004377EA" w:rsidRDefault="00C650DB"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0.426</w:t>
            </w:r>
          </w:p>
        </w:tc>
        <w:tc>
          <w:tcPr>
            <w:tcW w:w="1870" w:type="dxa"/>
          </w:tcPr>
          <w:p w14:paraId="37E46B6E" w14:textId="77777777" w:rsidR="00C650DB" w:rsidRPr="004377EA" w:rsidRDefault="00C650DB"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0.41</w:t>
            </w:r>
          </w:p>
        </w:tc>
      </w:tr>
      <w:tr w:rsidR="00C650DB" w:rsidRPr="004377EA" w14:paraId="46F6374E" w14:textId="77777777" w:rsidTr="00971EEF">
        <w:tc>
          <w:tcPr>
            <w:tcW w:w="1870" w:type="dxa"/>
          </w:tcPr>
          <w:p w14:paraId="2921B5A6" w14:textId="77777777" w:rsidR="00C650DB" w:rsidRPr="004377EA" w:rsidRDefault="00C650DB"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lastRenderedPageBreak/>
              <w:t>C</w:t>
            </w:r>
          </w:p>
        </w:tc>
        <w:tc>
          <w:tcPr>
            <w:tcW w:w="1870" w:type="dxa"/>
          </w:tcPr>
          <w:p w14:paraId="0D425D2D" w14:textId="77777777" w:rsidR="00C650DB" w:rsidRPr="004377EA" w:rsidRDefault="00C650DB"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0.821</w:t>
            </w:r>
          </w:p>
        </w:tc>
        <w:tc>
          <w:tcPr>
            <w:tcW w:w="1870" w:type="dxa"/>
          </w:tcPr>
          <w:p w14:paraId="45FD3FD8" w14:textId="77777777" w:rsidR="00C650DB" w:rsidRPr="004377EA" w:rsidRDefault="00C650DB"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1.413</w:t>
            </w:r>
          </w:p>
        </w:tc>
        <w:tc>
          <w:tcPr>
            <w:tcW w:w="1870" w:type="dxa"/>
          </w:tcPr>
          <w:p w14:paraId="1F8719A9" w14:textId="77777777" w:rsidR="00C650DB" w:rsidRPr="004377EA" w:rsidRDefault="00C650DB"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0.043</w:t>
            </w:r>
          </w:p>
        </w:tc>
        <w:tc>
          <w:tcPr>
            <w:tcW w:w="1870" w:type="dxa"/>
          </w:tcPr>
          <w:p w14:paraId="1CF03A38" w14:textId="77777777" w:rsidR="00C650DB" w:rsidRPr="004377EA" w:rsidRDefault="00C650DB"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0.044</w:t>
            </w:r>
          </w:p>
        </w:tc>
      </w:tr>
      <w:tr w:rsidR="00C650DB" w:rsidRPr="004377EA" w14:paraId="3BD529C2" w14:textId="77777777" w:rsidTr="00971EEF">
        <w:tc>
          <w:tcPr>
            <w:tcW w:w="1870" w:type="dxa"/>
          </w:tcPr>
          <w:p w14:paraId="6EB497AE" w14:textId="77777777" w:rsidR="00C650DB" w:rsidRPr="004377EA" w:rsidRDefault="00C650DB"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D</w:t>
            </w:r>
          </w:p>
        </w:tc>
        <w:tc>
          <w:tcPr>
            <w:tcW w:w="1870" w:type="dxa"/>
          </w:tcPr>
          <w:p w14:paraId="212BE114" w14:textId="77777777" w:rsidR="00C650DB" w:rsidRPr="004377EA" w:rsidRDefault="00C650DB"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0.985</w:t>
            </w:r>
          </w:p>
        </w:tc>
        <w:tc>
          <w:tcPr>
            <w:tcW w:w="1870" w:type="dxa"/>
          </w:tcPr>
          <w:p w14:paraId="2B668147" w14:textId="77777777" w:rsidR="00C650DB" w:rsidRPr="004377EA" w:rsidRDefault="00C650DB"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0.736</w:t>
            </w:r>
          </w:p>
        </w:tc>
        <w:tc>
          <w:tcPr>
            <w:tcW w:w="1870" w:type="dxa"/>
          </w:tcPr>
          <w:p w14:paraId="167A3F70" w14:textId="77777777" w:rsidR="00C650DB" w:rsidRPr="004377EA" w:rsidRDefault="00C650DB"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0.043</w:t>
            </w:r>
          </w:p>
        </w:tc>
        <w:tc>
          <w:tcPr>
            <w:tcW w:w="1870" w:type="dxa"/>
          </w:tcPr>
          <w:p w14:paraId="6AE05977" w14:textId="77777777" w:rsidR="00C650DB" w:rsidRPr="004377EA" w:rsidRDefault="00C650DB"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0.043</w:t>
            </w:r>
          </w:p>
        </w:tc>
      </w:tr>
      <w:tr w:rsidR="00C650DB" w:rsidRPr="004377EA" w14:paraId="797981BA" w14:textId="77777777" w:rsidTr="00971EEF">
        <w:tc>
          <w:tcPr>
            <w:tcW w:w="1870" w:type="dxa"/>
          </w:tcPr>
          <w:p w14:paraId="7BAFD74E" w14:textId="77777777" w:rsidR="00C650DB" w:rsidRPr="004377EA" w:rsidRDefault="00C650DB"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E</w:t>
            </w:r>
          </w:p>
        </w:tc>
        <w:tc>
          <w:tcPr>
            <w:tcW w:w="1870" w:type="dxa"/>
          </w:tcPr>
          <w:p w14:paraId="23E3D7C1" w14:textId="77777777" w:rsidR="00C650DB" w:rsidRPr="004377EA" w:rsidRDefault="00C650DB"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0.688</w:t>
            </w:r>
          </w:p>
        </w:tc>
        <w:tc>
          <w:tcPr>
            <w:tcW w:w="1870" w:type="dxa"/>
          </w:tcPr>
          <w:p w14:paraId="76D8C9DF" w14:textId="77777777" w:rsidR="00C650DB" w:rsidRPr="004377EA" w:rsidRDefault="00C650DB"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0.722</w:t>
            </w:r>
          </w:p>
        </w:tc>
        <w:tc>
          <w:tcPr>
            <w:tcW w:w="1870" w:type="dxa"/>
          </w:tcPr>
          <w:p w14:paraId="75C56A24" w14:textId="77777777" w:rsidR="00C650DB" w:rsidRPr="004377EA" w:rsidRDefault="00C650DB"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0.044</w:t>
            </w:r>
          </w:p>
        </w:tc>
        <w:tc>
          <w:tcPr>
            <w:tcW w:w="1870" w:type="dxa"/>
          </w:tcPr>
          <w:p w14:paraId="3185EA47" w14:textId="77777777" w:rsidR="00C650DB" w:rsidRPr="004377EA" w:rsidRDefault="00C650DB"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0.041</w:t>
            </w:r>
          </w:p>
        </w:tc>
      </w:tr>
      <w:tr w:rsidR="00C650DB" w:rsidRPr="004377EA" w14:paraId="2B14D221" w14:textId="77777777" w:rsidTr="00971EEF">
        <w:tc>
          <w:tcPr>
            <w:tcW w:w="1870" w:type="dxa"/>
          </w:tcPr>
          <w:p w14:paraId="4572B7E7" w14:textId="77777777" w:rsidR="00C650DB" w:rsidRPr="004377EA" w:rsidRDefault="00C650DB"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F</w:t>
            </w:r>
          </w:p>
        </w:tc>
        <w:tc>
          <w:tcPr>
            <w:tcW w:w="1870" w:type="dxa"/>
          </w:tcPr>
          <w:p w14:paraId="5D05F228" w14:textId="77777777" w:rsidR="00C650DB" w:rsidRPr="004377EA" w:rsidRDefault="00C650DB"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0.512</w:t>
            </w:r>
          </w:p>
        </w:tc>
        <w:tc>
          <w:tcPr>
            <w:tcW w:w="1870" w:type="dxa"/>
          </w:tcPr>
          <w:p w14:paraId="4827CF2F" w14:textId="77777777" w:rsidR="00C650DB" w:rsidRPr="004377EA" w:rsidRDefault="00C650DB"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0.482</w:t>
            </w:r>
          </w:p>
        </w:tc>
        <w:tc>
          <w:tcPr>
            <w:tcW w:w="1870" w:type="dxa"/>
          </w:tcPr>
          <w:p w14:paraId="3A441212" w14:textId="77777777" w:rsidR="00C650DB" w:rsidRPr="004377EA" w:rsidRDefault="00C650DB"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0.043</w:t>
            </w:r>
          </w:p>
        </w:tc>
        <w:tc>
          <w:tcPr>
            <w:tcW w:w="1870" w:type="dxa"/>
          </w:tcPr>
          <w:p w14:paraId="607607C4" w14:textId="77777777" w:rsidR="00C650DB" w:rsidRPr="004377EA" w:rsidRDefault="00C650DB"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0.043</w:t>
            </w:r>
          </w:p>
        </w:tc>
      </w:tr>
      <w:tr w:rsidR="00C650DB" w:rsidRPr="004377EA" w14:paraId="411A1A3B" w14:textId="77777777" w:rsidTr="00971EEF">
        <w:tc>
          <w:tcPr>
            <w:tcW w:w="1870" w:type="dxa"/>
          </w:tcPr>
          <w:p w14:paraId="58CE135A" w14:textId="77777777" w:rsidR="00C650DB" w:rsidRPr="004377EA" w:rsidRDefault="00C650DB"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G</w:t>
            </w:r>
          </w:p>
        </w:tc>
        <w:tc>
          <w:tcPr>
            <w:tcW w:w="1870" w:type="dxa"/>
          </w:tcPr>
          <w:p w14:paraId="74C95BF4" w14:textId="77777777" w:rsidR="00C650DB" w:rsidRPr="004377EA" w:rsidRDefault="00C650DB"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0.28</w:t>
            </w:r>
          </w:p>
        </w:tc>
        <w:tc>
          <w:tcPr>
            <w:tcW w:w="1870" w:type="dxa"/>
          </w:tcPr>
          <w:p w14:paraId="6BD98DEF" w14:textId="77777777" w:rsidR="00C650DB" w:rsidRPr="004377EA" w:rsidRDefault="00C650DB"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0.269</w:t>
            </w:r>
          </w:p>
        </w:tc>
        <w:tc>
          <w:tcPr>
            <w:tcW w:w="1870" w:type="dxa"/>
          </w:tcPr>
          <w:p w14:paraId="1426F20D" w14:textId="77777777" w:rsidR="00C650DB" w:rsidRPr="004377EA" w:rsidRDefault="00C650DB"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0.043</w:t>
            </w:r>
          </w:p>
        </w:tc>
        <w:tc>
          <w:tcPr>
            <w:tcW w:w="1870" w:type="dxa"/>
          </w:tcPr>
          <w:p w14:paraId="3520A9AD" w14:textId="77777777" w:rsidR="00C650DB" w:rsidRPr="004377EA" w:rsidRDefault="00C650DB"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0.043</w:t>
            </w:r>
          </w:p>
        </w:tc>
      </w:tr>
      <w:tr w:rsidR="00C650DB" w:rsidRPr="004377EA" w14:paraId="25B3D256" w14:textId="77777777" w:rsidTr="00971EEF">
        <w:tc>
          <w:tcPr>
            <w:tcW w:w="1870" w:type="dxa"/>
          </w:tcPr>
          <w:p w14:paraId="216D0EBF" w14:textId="77777777" w:rsidR="00C650DB" w:rsidRPr="004377EA" w:rsidRDefault="00C650DB"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H</w:t>
            </w:r>
          </w:p>
        </w:tc>
        <w:tc>
          <w:tcPr>
            <w:tcW w:w="1870" w:type="dxa"/>
          </w:tcPr>
          <w:p w14:paraId="6FDB6989" w14:textId="77777777" w:rsidR="00C650DB" w:rsidRPr="004377EA" w:rsidRDefault="00C650DB"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0.145</w:t>
            </w:r>
          </w:p>
        </w:tc>
        <w:tc>
          <w:tcPr>
            <w:tcW w:w="1870" w:type="dxa"/>
          </w:tcPr>
          <w:p w14:paraId="4F6C96CB" w14:textId="77777777" w:rsidR="00C650DB" w:rsidRPr="004377EA" w:rsidRDefault="00C650DB"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0.139</w:t>
            </w:r>
          </w:p>
        </w:tc>
        <w:tc>
          <w:tcPr>
            <w:tcW w:w="1870" w:type="dxa"/>
          </w:tcPr>
          <w:p w14:paraId="13E1C47D" w14:textId="77777777" w:rsidR="00C650DB" w:rsidRPr="004377EA" w:rsidRDefault="00C650DB"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0.043</w:t>
            </w:r>
          </w:p>
        </w:tc>
        <w:tc>
          <w:tcPr>
            <w:tcW w:w="1870" w:type="dxa"/>
          </w:tcPr>
          <w:p w14:paraId="573BA19C" w14:textId="77777777" w:rsidR="00C650DB" w:rsidRPr="004377EA" w:rsidRDefault="00C650DB"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0.043</w:t>
            </w:r>
          </w:p>
        </w:tc>
      </w:tr>
    </w:tbl>
    <w:p w14:paraId="7E98FFF6" w14:textId="77777777" w:rsidR="00C650DB" w:rsidRPr="004377EA" w:rsidRDefault="00C650DB" w:rsidP="004377EA">
      <w:pPr>
        <w:spacing w:line="480" w:lineRule="auto"/>
        <w:contextualSpacing/>
        <w:rPr>
          <w:rFonts w:ascii="Times New Roman" w:hAnsi="Times New Roman" w:cs="Times New Roman"/>
          <w:sz w:val="24"/>
          <w:szCs w:val="24"/>
        </w:rPr>
      </w:pPr>
    </w:p>
    <w:p w14:paraId="361A35EB" w14:textId="4AC99741" w:rsidR="007C69D0" w:rsidRPr="004377EA" w:rsidRDefault="007C69D0" w:rsidP="004377EA">
      <w:pPr>
        <w:spacing w:line="480" w:lineRule="auto"/>
        <w:contextualSpacing/>
        <w:rPr>
          <w:rFonts w:ascii="Times New Roman" w:hAnsi="Times New Roman" w:cs="Times New Roman"/>
          <w:sz w:val="24"/>
          <w:szCs w:val="24"/>
        </w:rPr>
      </w:pPr>
      <w:r w:rsidRPr="004377EA">
        <w:rPr>
          <w:rFonts w:ascii="Times New Roman" w:hAnsi="Times New Roman" w:cs="Times New Roman"/>
          <w:noProof/>
          <w:sz w:val="24"/>
          <w:szCs w:val="24"/>
        </w:rPr>
        <w:drawing>
          <wp:inline distT="0" distB="0" distL="0" distR="0" wp14:anchorId="620F04D7" wp14:editId="5CF30732">
            <wp:extent cx="5652655" cy="3800104"/>
            <wp:effectExtent l="0" t="0" r="5715" b="1016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32BC7A3F" w14:textId="15134421" w:rsidR="002E72E0" w:rsidRPr="004377EA" w:rsidRDefault="002E72E0" w:rsidP="004377EA">
      <w:pPr>
        <w:spacing w:line="480" w:lineRule="auto"/>
        <w:ind w:firstLine="720"/>
        <w:contextualSpacing/>
        <w:rPr>
          <w:rFonts w:ascii="Times New Roman" w:hAnsi="Times New Roman" w:cs="Times New Roman"/>
          <w:sz w:val="24"/>
          <w:szCs w:val="24"/>
        </w:rPr>
      </w:pPr>
      <w:r w:rsidRPr="004377EA">
        <w:rPr>
          <w:rFonts w:ascii="Times New Roman" w:hAnsi="Times New Roman" w:cs="Times New Roman"/>
          <w:sz w:val="24"/>
          <w:szCs w:val="24"/>
        </w:rPr>
        <w:t xml:space="preserve">Above is the standard curve which was obtained by plotting the values of average absorbance at 562nm against the concentration of the standard solution. The equation of the line is y=0.0011x+0.0557. </w:t>
      </w:r>
      <w:r w:rsidR="00C650DB" w:rsidRPr="004377EA">
        <w:rPr>
          <w:rFonts w:ascii="Times New Roman" w:hAnsi="Times New Roman" w:cs="Times New Roman"/>
          <w:sz w:val="24"/>
          <w:szCs w:val="24"/>
        </w:rPr>
        <w:t xml:space="preserve">Using the equation of the line we can easily determine the concentration of the unknown by </w:t>
      </w:r>
      <w:r w:rsidR="00EE5F22" w:rsidRPr="004377EA">
        <w:rPr>
          <w:rFonts w:ascii="Times New Roman" w:hAnsi="Times New Roman" w:cs="Times New Roman"/>
          <w:sz w:val="24"/>
          <w:szCs w:val="24"/>
        </w:rPr>
        <w:t xml:space="preserve">substituting the value of the absorbance of the unknown at y and then making X the subject of the formula. Concentration can also be obtained directly from the standard graph </w:t>
      </w:r>
      <w:r w:rsidR="00EE5F22" w:rsidRPr="004377EA">
        <w:rPr>
          <w:rFonts w:ascii="Times New Roman" w:hAnsi="Times New Roman" w:cs="Times New Roman"/>
          <w:sz w:val="24"/>
          <w:szCs w:val="24"/>
        </w:rPr>
        <w:lastRenderedPageBreak/>
        <w:t>by extrapolation from a point on the Y axis where the absorbance value is similar to that of the sample protein.</w:t>
      </w:r>
    </w:p>
    <w:p w14:paraId="17867765" w14:textId="0464C36F" w:rsidR="00EE5F22" w:rsidRPr="004377EA" w:rsidRDefault="00EE5F22" w:rsidP="004377EA">
      <w:pPr>
        <w:spacing w:line="480" w:lineRule="auto"/>
        <w:contextualSpacing/>
        <w:rPr>
          <w:rFonts w:ascii="Times New Roman" w:hAnsi="Times New Roman" w:cs="Times New Roman"/>
          <w:b/>
          <w:bCs/>
          <w:sz w:val="24"/>
          <w:szCs w:val="24"/>
        </w:rPr>
      </w:pPr>
      <w:r w:rsidRPr="004377EA">
        <w:rPr>
          <w:rFonts w:ascii="Times New Roman" w:hAnsi="Times New Roman" w:cs="Times New Roman"/>
          <w:b/>
          <w:bCs/>
          <w:sz w:val="24"/>
          <w:szCs w:val="24"/>
        </w:rPr>
        <w:t>Discussions</w:t>
      </w:r>
    </w:p>
    <w:p w14:paraId="28AA3B56" w14:textId="1FE7CB4B" w:rsidR="00EE5F22" w:rsidRPr="004377EA" w:rsidRDefault="00EE5F22"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y =mx +c</w:t>
      </w:r>
    </w:p>
    <w:p w14:paraId="1A6ECFDE" w14:textId="527E8D39" w:rsidR="00EE5F22" w:rsidRPr="004377EA" w:rsidRDefault="00EE5F22"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y=0.0011x+0.0557</w:t>
      </w:r>
    </w:p>
    <w:p w14:paraId="56706D3E" w14:textId="3F436C2B" w:rsidR="00EE5F22" w:rsidRPr="004377EA" w:rsidRDefault="00EE5F22"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0.3275 = 0.0011x + 0.0557</w:t>
      </w:r>
    </w:p>
    <w:p w14:paraId="189979E7" w14:textId="1E4F46D5" w:rsidR="00EE5F22" w:rsidRPr="004377EA" w:rsidRDefault="00EE5F22"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0.2718 =0.0011x</w:t>
      </w:r>
    </w:p>
    <w:p w14:paraId="625D24C1" w14:textId="0782BD1A" w:rsidR="00EE5F22" w:rsidRPr="004377EA" w:rsidRDefault="00EE5F22" w:rsidP="004377EA">
      <w:pPr>
        <w:spacing w:line="480" w:lineRule="auto"/>
        <w:contextualSpacing/>
        <w:rPr>
          <w:rFonts w:ascii="Times New Roman" w:hAnsi="Times New Roman" w:cs="Times New Roman"/>
          <w:sz w:val="24"/>
          <w:szCs w:val="24"/>
        </w:rPr>
      </w:pPr>
      <w:r w:rsidRPr="004377EA">
        <w:rPr>
          <w:rFonts w:ascii="Times New Roman" w:hAnsi="Times New Roman" w:cs="Times New Roman"/>
          <w:sz w:val="24"/>
          <w:szCs w:val="24"/>
        </w:rPr>
        <w:t>X=247.09ug/ml</w:t>
      </w:r>
    </w:p>
    <w:p w14:paraId="06434B3E" w14:textId="2294B435" w:rsidR="004965A3" w:rsidRPr="004377EA" w:rsidRDefault="00527051" w:rsidP="004377EA">
      <w:pPr>
        <w:spacing w:line="480" w:lineRule="auto"/>
        <w:ind w:firstLine="720"/>
        <w:contextualSpacing/>
        <w:rPr>
          <w:rFonts w:ascii="Times New Roman" w:hAnsi="Times New Roman" w:cs="Times New Roman"/>
          <w:sz w:val="24"/>
          <w:szCs w:val="24"/>
        </w:rPr>
      </w:pPr>
      <w:r w:rsidRPr="004377EA">
        <w:rPr>
          <w:rFonts w:ascii="Times New Roman" w:hAnsi="Times New Roman" w:cs="Times New Roman"/>
          <w:sz w:val="24"/>
          <w:szCs w:val="24"/>
        </w:rPr>
        <w:t>According to (</w:t>
      </w:r>
      <w:r w:rsidRPr="004377EA">
        <w:rPr>
          <w:rFonts w:ascii="Times New Roman" w:hAnsi="Times New Roman" w:cs="Times New Roman"/>
          <w:color w:val="222222"/>
          <w:sz w:val="24"/>
          <w:szCs w:val="24"/>
          <w:shd w:val="clear" w:color="auto" w:fill="FFFFFF"/>
        </w:rPr>
        <w:t>López C.</w:t>
      </w:r>
      <w:r w:rsidRPr="004377EA">
        <w:rPr>
          <w:rFonts w:ascii="Times New Roman" w:hAnsi="Times New Roman" w:cs="Times New Roman"/>
          <w:color w:val="222222"/>
          <w:sz w:val="24"/>
          <w:szCs w:val="24"/>
          <w:shd w:val="clear" w:color="auto" w:fill="FFFFFF"/>
        </w:rPr>
        <w:t xml:space="preserve"> et al., 2020</w:t>
      </w:r>
      <w:r w:rsidRPr="004377EA">
        <w:rPr>
          <w:rFonts w:ascii="Times New Roman" w:hAnsi="Times New Roman" w:cs="Times New Roman"/>
          <w:color w:val="222222"/>
          <w:sz w:val="24"/>
          <w:szCs w:val="24"/>
          <w:shd w:val="clear" w:color="auto" w:fill="FFFFFF"/>
        </w:rPr>
        <w:t>)</w:t>
      </w:r>
      <w:r w:rsidRPr="004377EA">
        <w:rPr>
          <w:rFonts w:ascii="Times New Roman" w:hAnsi="Times New Roman" w:cs="Times New Roman"/>
          <w:color w:val="222222"/>
          <w:sz w:val="24"/>
          <w:szCs w:val="24"/>
          <w:shd w:val="clear" w:color="auto" w:fill="FFFFFF"/>
        </w:rPr>
        <w:t xml:space="preserve"> </w:t>
      </w:r>
      <w:r w:rsidRPr="004377EA">
        <w:rPr>
          <w:rFonts w:ascii="Times New Roman" w:hAnsi="Times New Roman" w:cs="Times New Roman"/>
          <w:sz w:val="24"/>
          <w:szCs w:val="24"/>
        </w:rPr>
        <w:t>t</w:t>
      </w:r>
      <w:r w:rsidR="00EE5F22" w:rsidRPr="004377EA">
        <w:rPr>
          <w:rFonts w:ascii="Times New Roman" w:hAnsi="Times New Roman" w:cs="Times New Roman"/>
          <w:sz w:val="24"/>
          <w:szCs w:val="24"/>
        </w:rPr>
        <w:t>he Beer Lambert’s law is</w:t>
      </w:r>
      <w:r w:rsidR="004965A3" w:rsidRPr="004377EA">
        <w:rPr>
          <w:rFonts w:ascii="Times New Roman" w:hAnsi="Times New Roman" w:cs="Times New Roman"/>
          <w:sz w:val="24"/>
          <w:szCs w:val="24"/>
        </w:rPr>
        <w:t xml:space="preserve"> always represented mathematically as A = a C l, where A is absorbance, a is the absorptivity of the sample, l the path length of the light from the source and c the concentration of the sample. During the experiment involving spectrometry, the absorptivity and the path length are always constant. This leaves the option that any changes in the absorbance of a certain sample will be affected by varying its concentration. Every time, the relationship is plotted on a graph, a straight line through the center is produced.</w:t>
      </w:r>
    </w:p>
    <w:p w14:paraId="2CB166AB" w14:textId="09751C38" w:rsidR="004965A3" w:rsidRPr="004377EA" w:rsidRDefault="00EB1A04" w:rsidP="004377EA">
      <w:pPr>
        <w:spacing w:line="480" w:lineRule="auto"/>
        <w:ind w:firstLine="720"/>
        <w:contextualSpacing/>
        <w:rPr>
          <w:rFonts w:ascii="Times New Roman" w:hAnsi="Times New Roman" w:cs="Times New Roman"/>
          <w:sz w:val="24"/>
          <w:szCs w:val="24"/>
        </w:rPr>
      </w:pPr>
      <w:r w:rsidRPr="004377EA">
        <w:rPr>
          <w:rFonts w:ascii="Times New Roman" w:hAnsi="Times New Roman" w:cs="Times New Roman"/>
          <w:sz w:val="24"/>
          <w:szCs w:val="24"/>
        </w:rPr>
        <w:t>The accuracy of this method can sometimes be compromised leading to erroneous results. For this reason, care must always be taken to eliminate any sources of error during the process. Some of the problems which might be encountered include contamination of the BCA with substances like ascorbic acids which limit the ability to chelate with proteins</w:t>
      </w:r>
      <w:r w:rsidR="00527051" w:rsidRPr="004377EA">
        <w:rPr>
          <w:rFonts w:ascii="Times New Roman" w:hAnsi="Times New Roman" w:cs="Times New Roman"/>
          <w:sz w:val="24"/>
          <w:szCs w:val="24"/>
        </w:rPr>
        <w:t xml:space="preserve"> </w:t>
      </w:r>
      <w:r w:rsidR="00527051" w:rsidRPr="004377EA">
        <w:rPr>
          <w:rFonts w:ascii="Times New Roman" w:hAnsi="Times New Roman" w:cs="Times New Roman"/>
          <w:sz w:val="24"/>
          <w:szCs w:val="24"/>
        </w:rPr>
        <w:t>(</w:t>
      </w:r>
      <w:r w:rsidR="00527051" w:rsidRPr="004377EA">
        <w:rPr>
          <w:rFonts w:ascii="Times New Roman" w:hAnsi="Times New Roman" w:cs="Times New Roman"/>
          <w:color w:val="222222"/>
          <w:sz w:val="24"/>
          <w:szCs w:val="24"/>
          <w:shd w:val="clear" w:color="auto" w:fill="FFFFFF"/>
        </w:rPr>
        <w:t>Greenfield, 2018))</w:t>
      </w:r>
      <w:r w:rsidRPr="004377EA">
        <w:rPr>
          <w:rFonts w:ascii="Times New Roman" w:hAnsi="Times New Roman" w:cs="Times New Roman"/>
          <w:sz w:val="24"/>
          <w:szCs w:val="24"/>
        </w:rPr>
        <w:t>. At other times, the tubes may not show any colors or the colors might be darker than expected. Some of the solutions may include proper dilution and desalting.</w:t>
      </w:r>
    </w:p>
    <w:p w14:paraId="0B6E78FF" w14:textId="456FF576" w:rsidR="00EB1A04" w:rsidRPr="004377EA" w:rsidRDefault="009D1391" w:rsidP="004377EA">
      <w:pPr>
        <w:spacing w:line="480" w:lineRule="auto"/>
        <w:contextualSpacing/>
        <w:rPr>
          <w:rFonts w:ascii="Times New Roman" w:hAnsi="Times New Roman" w:cs="Times New Roman"/>
          <w:b/>
          <w:bCs/>
          <w:sz w:val="24"/>
          <w:szCs w:val="24"/>
        </w:rPr>
      </w:pPr>
      <w:r w:rsidRPr="004377EA">
        <w:rPr>
          <w:rFonts w:ascii="Times New Roman" w:hAnsi="Times New Roman" w:cs="Times New Roman"/>
          <w:b/>
          <w:bCs/>
          <w:sz w:val="24"/>
          <w:szCs w:val="24"/>
        </w:rPr>
        <w:t>Conclusions</w:t>
      </w:r>
    </w:p>
    <w:p w14:paraId="472C36AA" w14:textId="26A01EDC" w:rsidR="009D1391" w:rsidRPr="004377EA" w:rsidRDefault="009D1391" w:rsidP="004377EA">
      <w:pPr>
        <w:spacing w:line="480" w:lineRule="auto"/>
        <w:ind w:firstLine="720"/>
        <w:contextualSpacing/>
        <w:rPr>
          <w:rFonts w:ascii="Times New Roman" w:hAnsi="Times New Roman" w:cs="Times New Roman"/>
          <w:sz w:val="24"/>
          <w:szCs w:val="24"/>
        </w:rPr>
      </w:pPr>
      <w:r w:rsidRPr="004377EA">
        <w:rPr>
          <w:rFonts w:ascii="Times New Roman" w:hAnsi="Times New Roman" w:cs="Times New Roman"/>
          <w:sz w:val="24"/>
          <w:szCs w:val="24"/>
        </w:rPr>
        <w:lastRenderedPageBreak/>
        <w:t>After the experiment was conducted successfully, the concentration of the unknown sample was determined to be 247.09ug/ml with possible sources of error. A standard curve was created using the absorbance obtained at 562nm against the concentration of the standard reagent. Based on the relationship, it produced a linear plot y=mx + c for which helped in the calculation of the unknown concentration.</w:t>
      </w:r>
    </w:p>
    <w:p w14:paraId="1E61BC14" w14:textId="77777777" w:rsidR="004377EA" w:rsidRDefault="004377EA" w:rsidP="004377EA">
      <w:pPr>
        <w:spacing w:line="480" w:lineRule="auto"/>
        <w:contextualSpacing/>
        <w:jc w:val="center"/>
        <w:rPr>
          <w:rFonts w:ascii="Times New Roman" w:hAnsi="Times New Roman" w:cs="Times New Roman"/>
          <w:b/>
          <w:bCs/>
          <w:sz w:val="24"/>
          <w:szCs w:val="24"/>
        </w:rPr>
      </w:pPr>
    </w:p>
    <w:p w14:paraId="0CC89A11" w14:textId="77777777" w:rsidR="004377EA" w:rsidRDefault="004377EA" w:rsidP="004377EA">
      <w:pPr>
        <w:spacing w:line="480" w:lineRule="auto"/>
        <w:contextualSpacing/>
        <w:jc w:val="center"/>
        <w:rPr>
          <w:rFonts w:ascii="Times New Roman" w:hAnsi="Times New Roman" w:cs="Times New Roman"/>
          <w:b/>
          <w:bCs/>
          <w:sz w:val="24"/>
          <w:szCs w:val="24"/>
        </w:rPr>
      </w:pPr>
    </w:p>
    <w:p w14:paraId="3D5378CC" w14:textId="77777777" w:rsidR="004377EA" w:rsidRDefault="004377EA" w:rsidP="004377EA">
      <w:pPr>
        <w:spacing w:line="480" w:lineRule="auto"/>
        <w:contextualSpacing/>
        <w:jc w:val="center"/>
        <w:rPr>
          <w:rFonts w:ascii="Times New Roman" w:hAnsi="Times New Roman" w:cs="Times New Roman"/>
          <w:b/>
          <w:bCs/>
          <w:sz w:val="24"/>
          <w:szCs w:val="24"/>
        </w:rPr>
      </w:pPr>
    </w:p>
    <w:p w14:paraId="377F0F88" w14:textId="77777777" w:rsidR="004377EA" w:rsidRDefault="004377EA" w:rsidP="004377EA">
      <w:pPr>
        <w:spacing w:line="480" w:lineRule="auto"/>
        <w:contextualSpacing/>
        <w:jc w:val="center"/>
        <w:rPr>
          <w:rFonts w:ascii="Times New Roman" w:hAnsi="Times New Roman" w:cs="Times New Roman"/>
          <w:b/>
          <w:bCs/>
          <w:sz w:val="24"/>
          <w:szCs w:val="24"/>
        </w:rPr>
      </w:pPr>
    </w:p>
    <w:p w14:paraId="7530EA88" w14:textId="77777777" w:rsidR="004377EA" w:rsidRDefault="004377EA" w:rsidP="004377EA">
      <w:pPr>
        <w:spacing w:line="480" w:lineRule="auto"/>
        <w:contextualSpacing/>
        <w:jc w:val="center"/>
        <w:rPr>
          <w:rFonts w:ascii="Times New Roman" w:hAnsi="Times New Roman" w:cs="Times New Roman"/>
          <w:b/>
          <w:bCs/>
          <w:sz w:val="24"/>
          <w:szCs w:val="24"/>
        </w:rPr>
      </w:pPr>
    </w:p>
    <w:p w14:paraId="205E4ECC" w14:textId="77777777" w:rsidR="004377EA" w:rsidRDefault="004377EA" w:rsidP="004377EA">
      <w:pPr>
        <w:spacing w:line="480" w:lineRule="auto"/>
        <w:contextualSpacing/>
        <w:jc w:val="center"/>
        <w:rPr>
          <w:rFonts w:ascii="Times New Roman" w:hAnsi="Times New Roman" w:cs="Times New Roman"/>
          <w:b/>
          <w:bCs/>
          <w:sz w:val="24"/>
          <w:szCs w:val="24"/>
        </w:rPr>
      </w:pPr>
    </w:p>
    <w:p w14:paraId="2615E8FD" w14:textId="77777777" w:rsidR="004377EA" w:rsidRDefault="004377EA" w:rsidP="004377EA">
      <w:pPr>
        <w:spacing w:line="480" w:lineRule="auto"/>
        <w:contextualSpacing/>
        <w:jc w:val="center"/>
        <w:rPr>
          <w:rFonts w:ascii="Times New Roman" w:hAnsi="Times New Roman" w:cs="Times New Roman"/>
          <w:b/>
          <w:bCs/>
          <w:sz w:val="24"/>
          <w:szCs w:val="24"/>
        </w:rPr>
      </w:pPr>
    </w:p>
    <w:p w14:paraId="2D0E0434" w14:textId="77777777" w:rsidR="004377EA" w:rsidRDefault="004377EA" w:rsidP="004377EA">
      <w:pPr>
        <w:spacing w:line="480" w:lineRule="auto"/>
        <w:contextualSpacing/>
        <w:jc w:val="center"/>
        <w:rPr>
          <w:rFonts w:ascii="Times New Roman" w:hAnsi="Times New Roman" w:cs="Times New Roman"/>
          <w:b/>
          <w:bCs/>
          <w:sz w:val="24"/>
          <w:szCs w:val="24"/>
        </w:rPr>
      </w:pPr>
    </w:p>
    <w:p w14:paraId="370C8E92" w14:textId="77777777" w:rsidR="004377EA" w:rsidRDefault="004377EA" w:rsidP="004377EA">
      <w:pPr>
        <w:spacing w:line="480" w:lineRule="auto"/>
        <w:contextualSpacing/>
        <w:jc w:val="center"/>
        <w:rPr>
          <w:rFonts w:ascii="Times New Roman" w:hAnsi="Times New Roman" w:cs="Times New Roman"/>
          <w:b/>
          <w:bCs/>
          <w:sz w:val="24"/>
          <w:szCs w:val="24"/>
        </w:rPr>
      </w:pPr>
    </w:p>
    <w:p w14:paraId="0ED750E1" w14:textId="77777777" w:rsidR="004377EA" w:rsidRDefault="004377EA" w:rsidP="004377EA">
      <w:pPr>
        <w:spacing w:line="480" w:lineRule="auto"/>
        <w:contextualSpacing/>
        <w:jc w:val="center"/>
        <w:rPr>
          <w:rFonts w:ascii="Times New Roman" w:hAnsi="Times New Roman" w:cs="Times New Roman"/>
          <w:b/>
          <w:bCs/>
          <w:sz w:val="24"/>
          <w:szCs w:val="24"/>
        </w:rPr>
      </w:pPr>
    </w:p>
    <w:p w14:paraId="2B5C4561" w14:textId="77777777" w:rsidR="004377EA" w:rsidRDefault="004377EA" w:rsidP="004377EA">
      <w:pPr>
        <w:spacing w:line="480" w:lineRule="auto"/>
        <w:contextualSpacing/>
        <w:jc w:val="center"/>
        <w:rPr>
          <w:rFonts w:ascii="Times New Roman" w:hAnsi="Times New Roman" w:cs="Times New Roman"/>
          <w:b/>
          <w:bCs/>
          <w:sz w:val="24"/>
          <w:szCs w:val="24"/>
        </w:rPr>
      </w:pPr>
    </w:p>
    <w:p w14:paraId="27AB10E0" w14:textId="77777777" w:rsidR="004377EA" w:rsidRDefault="004377EA" w:rsidP="004377EA">
      <w:pPr>
        <w:spacing w:line="480" w:lineRule="auto"/>
        <w:contextualSpacing/>
        <w:jc w:val="center"/>
        <w:rPr>
          <w:rFonts w:ascii="Times New Roman" w:hAnsi="Times New Roman" w:cs="Times New Roman"/>
          <w:b/>
          <w:bCs/>
          <w:sz w:val="24"/>
          <w:szCs w:val="24"/>
        </w:rPr>
      </w:pPr>
    </w:p>
    <w:p w14:paraId="3A4D7432" w14:textId="77777777" w:rsidR="004377EA" w:rsidRDefault="004377EA" w:rsidP="004377EA">
      <w:pPr>
        <w:spacing w:line="480" w:lineRule="auto"/>
        <w:contextualSpacing/>
        <w:jc w:val="center"/>
        <w:rPr>
          <w:rFonts w:ascii="Times New Roman" w:hAnsi="Times New Roman" w:cs="Times New Roman"/>
          <w:b/>
          <w:bCs/>
          <w:sz w:val="24"/>
          <w:szCs w:val="24"/>
        </w:rPr>
      </w:pPr>
    </w:p>
    <w:p w14:paraId="74DBA7BA" w14:textId="77777777" w:rsidR="004377EA" w:rsidRDefault="004377EA" w:rsidP="004377EA">
      <w:pPr>
        <w:spacing w:line="480" w:lineRule="auto"/>
        <w:contextualSpacing/>
        <w:jc w:val="center"/>
        <w:rPr>
          <w:rFonts w:ascii="Times New Roman" w:hAnsi="Times New Roman" w:cs="Times New Roman"/>
          <w:b/>
          <w:bCs/>
          <w:sz w:val="24"/>
          <w:szCs w:val="24"/>
        </w:rPr>
      </w:pPr>
    </w:p>
    <w:p w14:paraId="0BC7F7BC" w14:textId="77777777" w:rsidR="004377EA" w:rsidRDefault="004377EA" w:rsidP="004377EA">
      <w:pPr>
        <w:spacing w:line="480" w:lineRule="auto"/>
        <w:contextualSpacing/>
        <w:jc w:val="center"/>
        <w:rPr>
          <w:rFonts w:ascii="Times New Roman" w:hAnsi="Times New Roman" w:cs="Times New Roman"/>
          <w:b/>
          <w:bCs/>
          <w:sz w:val="24"/>
          <w:szCs w:val="24"/>
        </w:rPr>
      </w:pPr>
    </w:p>
    <w:p w14:paraId="3556C5A5" w14:textId="77777777" w:rsidR="004377EA" w:rsidRDefault="004377EA" w:rsidP="004377EA">
      <w:pPr>
        <w:spacing w:line="480" w:lineRule="auto"/>
        <w:contextualSpacing/>
        <w:jc w:val="center"/>
        <w:rPr>
          <w:rFonts w:ascii="Times New Roman" w:hAnsi="Times New Roman" w:cs="Times New Roman"/>
          <w:b/>
          <w:bCs/>
          <w:sz w:val="24"/>
          <w:szCs w:val="24"/>
        </w:rPr>
      </w:pPr>
    </w:p>
    <w:p w14:paraId="75941114" w14:textId="77777777" w:rsidR="004377EA" w:rsidRDefault="004377EA" w:rsidP="004377EA">
      <w:pPr>
        <w:spacing w:line="480" w:lineRule="auto"/>
        <w:contextualSpacing/>
        <w:jc w:val="center"/>
        <w:rPr>
          <w:rFonts w:ascii="Times New Roman" w:hAnsi="Times New Roman" w:cs="Times New Roman"/>
          <w:b/>
          <w:bCs/>
          <w:sz w:val="24"/>
          <w:szCs w:val="24"/>
        </w:rPr>
      </w:pPr>
    </w:p>
    <w:p w14:paraId="1E15C61C" w14:textId="77777777" w:rsidR="004377EA" w:rsidRDefault="004377EA" w:rsidP="004377EA">
      <w:pPr>
        <w:spacing w:line="480" w:lineRule="auto"/>
        <w:contextualSpacing/>
        <w:jc w:val="center"/>
        <w:rPr>
          <w:rFonts w:ascii="Times New Roman" w:hAnsi="Times New Roman" w:cs="Times New Roman"/>
          <w:b/>
          <w:bCs/>
          <w:sz w:val="24"/>
          <w:szCs w:val="24"/>
        </w:rPr>
      </w:pPr>
    </w:p>
    <w:p w14:paraId="67CCB164" w14:textId="4C601BC2" w:rsidR="009D1391" w:rsidRPr="004377EA" w:rsidRDefault="009D1391" w:rsidP="004377EA">
      <w:pPr>
        <w:spacing w:line="480" w:lineRule="auto"/>
        <w:contextualSpacing/>
        <w:jc w:val="center"/>
        <w:rPr>
          <w:rFonts w:ascii="Times New Roman" w:hAnsi="Times New Roman" w:cs="Times New Roman"/>
          <w:b/>
          <w:bCs/>
          <w:sz w:val="24"/>
          <w:szCs w:val="24"/>
        </w:rPr>
      </w:pPr>
      <w:r w:rsidRPr="004377EA">
        <w:rPr>
          <w:rFonts w:ascii="Times New Roman" w:hAnsi="Times New Roman" w:cs="Times New Roman"/>
          <w:b/>
          <w:bCs/>
          <w:sz w:val="24"/>
          <w:szCs w:val="24"/>
        </w:rPr>
        <w:lastRenderedPageBreak/>
        <w:t xml:space="preserve">References </w:t>
      </w:r>
    </w:p>
    <w:p w14:paraId="61F4CE99" w14:textId="47D379F7" w:rsidR="009D1391" w:rsidRPr="004377EA" w:rsidRDefault="0062054A" w:rsidP="004377EA">
      <w:pPr>
        <w:spacing w:line="480" w:lineRule="auto"/>
        <w:ind w:left="720" w:hanging="720"/>
        <w:contextualSpacing/>
        <w:rPr>
          <w:rFonts w:ascii="Times New Roman" w:hAnsi="Times New Roman" w:cs="Times New Roman"/>
          <w:color w:val="222222"/>
          <w:sz w:val="24"/>
          <w:szCs w:val="24"/>
          <w:shd w:val="clear" w:color="auto" w:fill="FFFFFF"/>
        </w:rPr>
      </w:pPr>
      <w:r w:rsidRPr="004377EA">
        <w:rPr>
          <w:rFonts w:ascii="Times New Roman" w:hAnsi="Times New Roman" w:cs="Times New Roman"/>
          <w:color w:val="222222"/>
          <w:sz w:val="24"/>
          <w:szCs w:val="24"/>
          <w:shd w:val="clear" w:color="auto" w:fill="FFFFFF"/>
        </w:rPr>
        <w:t xml:space="preserve">Cortés-Ríos, J., </w:t>
      </w:r>
      <w:proofErr w:type="spellStart"/>
      <w:r w:rsidRPr="004377EA">
        <w:rPr>
          <w:rFonts w:ascii="Times New Roman" w:hAnsi="Times New Roman" w:cs="Times New Roman"/>
          <w:color w:val="222222"/>
          <w:sz w:val="24"/>
          <w:szCs w:val="24"/>
          <w:shd w:val="clear" w:color="auto" w:fill="FFFFFF"/>
        </w:rPr>
        <w:t>Zárate</w:t>
      </w:r>
      <w:proofErr w:type="spellEnd"/>
      <w:r w:rsidRPr="004377EA">
        <w:rPr>
          <w:rFonts w:ascii="Times New Roman" w:hAnsi="Times New Roman" w:cs="Times New Roman"/>
          <w:color w:val="222222"/>
          <w:sz w:val="24"/>
          <w:szCs w:val="24"/>
          <w:shd w:val="clear" w:color="auto" w:fill="FFFFFF"/>
        </w:rPr>
        <w:t>, A. M., Figueroa, J. D., Medina, J., Fuentes-Lemus, E., Rodríguez-Fernández, M., ... &amp; López-</w:t>
      </w:r>
      <w:proofErr w:type="spellStart"/>
      <w:r w:rsidRPr="004377EA">
        <w:rPr>
          <w:rFonts w:ascii="Times New Roman" w:hAnsi="Times New Roman" w:cs="Times New Roman"/>
          <w:color w:val="222222"/>
          <w:sz w:val="24"/>
          <w:szCs w:val="24"/>
          <w:shd w:val="clear" w:color="auto" w:fill="FFFFFF"/>
        </w:rPr>
        <w:t>Alarcón</w:t>
      </w:r>
      <w:proofErr w:type="spellEnd"/>
      <w:r w:rsidRPr="004377EA">
        <w:rPr>
          <w:rFonts w:ascii="Times New Roman" w:hAnsi="Times New Roman" w:cs="Times New Roman"/>
          <w:color w:val="222222"/>
          <w:sz w:val="24"/>
          <w:szCs w:val="24"/>
          <w:shd w:val="clear" w:color="auto" w:fill="FFFFFF"/>
        </w:rPr>
        <w:t>, C. (2020). Protein quantification by bicinchoninic acid (BCA) assay follows complex kinetics and can be performed at short incubation times. </w:t>
      </w:r>
      <w:r w:rsidRPr="004377EA">
        <w:rPr>
          <w:rFonts w:ascii="Times New Roman" w:hAnsi="Times New Roman" w:cs="Times New Roman"/>
          <w:i/>
          <w:iCs/>
          <w:color w:val="222222"/>
          <w:sz w:val="24"/>
          <w:szCs w:val="24"/>
          <w:shd w:val="clear" w:color="auto" w:fill="FFFFFF"/>
        </w:rPr>
        <w:t>Analytical Biochemistry</w:t>
      </w:r>
      <w:r w:rsidRPr="004377EA">
        <w:rPr>
          <w:rFonts w:ascii="Times New Roman" w:hAnsi="Times New Roman" w:cs="Times New Roman"/>
          <w:color w:val="222222"/>
          <w:sz w:val="24"/>
          <w:szCs w:val="24"/>
          <w:shd w:val="clear" w:color="auto" w:fill="FFFFFF"/>
        </w:rPr>
        <w:t>, </w:t>
      </w:r>
      <w:r w:rsidRPr="004377EA">
        <w:rPr>
          <w:rFonts w:ascii="Times New Roman" w:hAnsi="Times New Roman" w:cs="Times New Roman"/>
          <w:i/>
          <w:iCs/>
          <w:color w:val="222222"/>
          <w:sz w:val="24"/>
          <w:szCs w:val="24"/>
          <w:shd w:val="clear" w:color="auto" w:fill="FFFFFF"/>
        </w:rPr>
        <w:t>608</w:t>
      </w:r>
      <w:r w:rsidRPr="004377EA">
        <w:rPr>
          <w:rFonts w:ascii="Times New Roman" w:hAnsi="Times New Roman" w:cs="Times New Roman"/>
          <w:color w:val="222222"/>
          <w:sz w:val="24"/>
          <w:szCs w:val="24"/>
          <w:shd w:val="clear" w:color="auto" w:fill="FFFFFF"/>
        </w:rPr>
        <w:t>, 113904.</w:t>
      </w:r>
    </w:p>
    <w:p w14:paraId="16FACC6E" w14:textId="43791DB0" w:rsidR="0062054A" w:rsidRPr="004377EA" w:rsidRDefault="0062054A" w:rsidP="004377EA">
      <w:pPr>
        <w:spacing w:line="480" w:lineRule="auto"/>
        <w:ind w:left="720" w:hanging="720"/>
        <w:contextualSpacing/>
        <w:rPr>
          <w:rFonts w:ascii="Times New Roman" w:hAnsi="Times New Roman" w:cs="Times New Roman"/>
          <w:sz w:val="24"/>
          <w:szCs w:val="24"/>
        </w:rPr>
      </w:pPr>
      <w:r w:rsidRPr="004377EA">
        <w:rPr>
          <w:rFonts w:ascii="Times New Roman" w:hAnsi="Times New Roman" w:cs="Times New Roman"/>
          <w:color w:val="222222"/>
          <w:sz w:val="24"/>
          <w:szCs w:val="24"/>
          <w:shd w:val="clear" w:color="auto" w:fill="FFFFFF"/>
        </w:rPr>
        <w:t>Greenfield, E. A. (2018). Protein quantitation. </w:t>
      </w:r>
      <w:r w:rsidRPr="004377EA">
        <w:rPr>
          <w:rFonts w:ascii="Times New Roman" w:hAnsi="Times New Roman" w:cs="Times New Roman"/>
          <w:i/>
          <w:iCs/>
          <w:color w:val="222222"/>
          <w:sz w:val="24"/>
          <w:szCs w:val="24"/>
          <w:shd w:val="clear" w:color="auto" w:fill="FFFFFF"/>
        </w:rPr>
        <w:t>Cold Spring Harbor Protocols</w:t>
      </w:r>
      <w:r w:rsidRPr="004377EA">
        <w:rPr>
          <w:rFonts w:ascii="Times New Roman" w:hAnsi="Times New Roman" w:cs="Times New Roman"/>
          <w:color w:val="222222"/>
          <w:sz w:val="24"/>
          <w:szCs w:val="24"/>
          <w:shd w:val="clear" w:color="auto" w:fill="FFFFFF"/>
        </w:rPr>
        <w:t>, </w:t>
      </w:r>
      <w:r w:rsidRPr="004377EA">
        <w:rPr>
          <w:rFonts w:ascii="Times New Roman" w:hAnsi="Times New Roman" w:cs="Times New Roman"/>
          <w:i/>
          <w:iCs/>
          <w:color w:val="222222"/>
          <w:sz w:val="24"/>
          <w:szCs w:val="24"/>
          <w:shd w:val="clear" w:color="auto" w:fill="FFFFFF"/>
        </w:rPr>
        <w:t>2018</w:t>
      </w:r>
      <w:r w:rsidRPr="004377EA">
        <w:rPr>
          <w:rFonts w:ascii="Times New Roman" w:hAnsi="Times New Roman" w:cs="Times New Roman"/>
          <w:color w:val="222222"/>
          <w:sz w:val="24"/>
          <w:szCs w:val="24"/>
          <w:shd w:val="clear" w:color="auto" w:fill="FFFFFF"/>
        </w:rPr>
        <w:t>(6), pdb-prot098202.</w:t>
      </w:r>
    </w:p>
    <w:p w14:paraId="32758D40" w14:textId="23DF47D5" w:rsidR="009D1391" w:rsidRPr="004377EA" w:rsidRDefault="0062054A" w:rsidP="004377EA">
      <w:pPr>
        <w:spacing w:line="480" w:lineRule="auto"/>
        <w:ind w:left="720" w:hanging="720"/>
        <w:contextualSpacing/>
        <w:rPr>
          <w:rFonts w:ascii="Times New Roman" w:hAnsi="Times New Roman" w:cs="Times New Roman"/>
          <w:b/>
          <w:bCs/>
          <w:sz w:val="24"/>
          <w:szCs w:val="24"/>
        </w:rPr>
      </w:pPr>
      <w:r w:rsidRPr="004377EA">
        <w:rPr>
          <w:rFonts w:ascii="Times New Roman" w:hAnsi="Times New Roman" w:cs="Times New Roman"/>
          <w:color w:val="222222"/>
          <w:sz w:val="24"/>
          <w:szCs w:val="24"/>
          <w:shd w:val="clear" w:color="auto" w:fill="FFFFFF"/>
        </w:rPr>
        <w:t>Li, X., Zhao, B., Yang, S., &amp; Che, H. (2018). Comparison of enzyme-linked immunosorbent assay and bicinchoninic acid assay for detection of walnut protein concentration in food. </w:t>
      </w:r>
      <w:r w:rsidRPr="004377EA">
        <w:rPr>
          <w:rFonts w:ascii="Times New Roman" w:hAnsi="Times New Roman" w:cs="Times New Roman"/>
          <w:i/>
          <w:iCs/>
          <w:color w:val="222222"/>
          <w:sz w:val="24"/>
          <w:szCs w:val="24"/>
          <w:shd w:val="clear" w:color="auto" w:fill="FFFFFF"/>
        </w:rPr>
        <w:t>Journal of Food Safety and Quality</w:t>
      </w:r>
      <w:r w:rsidRPr="004377EA">
        <w:rPr>
          <w:rFonts w:ascii="Times New Roman" w:hAnsi="Times New Roman" w:cs="Times New Roman"/>
          <w:color w:val="222222"/>
          <w:sz w:val="24"/>
          <w:szCs w:val="24"/>
          <w:shd w:val="clear" w:color="auto" w:fill="FFFFFF"/>
        </w:rPr>
        <w:t>, </w:t>
      </w:r>
      <w:r w:rsidRPr="004377EA">
        <w:rPr>
          <w:rFonts w:ascii="Times New Roman" w:hAnsi="Times New Roman" w:cs="Times New Roman"/>
          <w:i/>
          <w:iCs/>
          <w:color w:val="222222"/>
          <w:sz w:val="24"/>
          <w:szCs w:val="24"/>
          <w:shd w:val="clear" w:color="auto" w:fill="FFFFFF"/>
        </w:rPr>
        <w:t>9</w:t>
      </w:r>
      <w:r w:rsidRPr="004377EA">
        <w:rPr>
          <w:rFonts w:ascii="Times New Roman" w:hAnsi="Times New Roman" w:cs="Times New Roman"/>
          <w:color w:val="222222"/>
          <w:sz w:val="24"/>
          <w:szCs w:val="24"/>
          <w:shd w:val="clear" w:color="auto" w:fill="FFFFFF"/>
        </w:rPr>
        <w:t>(22), 6009-6014.</w:t>
      </w:r>
    </w:p>
    <w:sectPr w:rsidR="009D1391" w:rsidRPr="004377E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A869D5" w14:textId="77777777" w:rsidR="00BB2235" w:rsidRDefault="00BB2235" w:rsidP="001D5577">
      <w:pPr>
        <w:spacing w:after="0" w:line="240" w:lineRule="auto"/>
      </w:pPr>
      <w:r>
        <w:separator/>
      </w:r>
    </w:p>
  </w:endnote>
  <w:endnote w:type="continuationSeparator" w:id="0">
    <w:p w14:paraId="27C115C3" w14:textId="77777777" w:rsidR="00BB2235" w:rsidRDefault="00BB2235" w:rsidP="001D55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C6B98A" w14:textId="77777777" w:rsidR="00BB2235" w:rsidRDefault="00BB2235" w:rsidP="001D5577">
      <w:pPr>
        <w:spacing w:after="0" w:line="240" w:lineRule="auto"/>
      </w:pPr>
      <w:r>
        <w:separator/>
      </w:r>
    </w:p>
  </w:footnote>
  <w:footnote w:type="continuationSeparator" w:id="0">
    <w:p w14:paraId="068CDA2A" w14:textId="77777777" w:rsidR="00BB2235" w:rsidRDefault="00BB2235" w:rsidP="001D55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4922584"/>
      <w:docPartObj>
        <w:docPartGallery w:val="Page Numbers (Top of Page)"/>
        <w:docPartUnique/>
      </w:docPartObj>
    </w:sdtPr>
    <w:sdtEndPr>
      <w:rPr>
        <w:noProof/>
      </w:rPr>
    </w:sdtEndPr>
    <w:sdtContent>
      <w:p w14:paraId="09C3D29B" w14:textId="37EDA328" w:rsidR="001D5577" w:rsidRDefault="001D557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6197A4C" w14:textId="77777777" w:rsidR="001D5577" w:rsidRDefault="001D55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3E5A14"/>
    <w:multiLevelType w:val="hybridMultilevel"/>
    <w:tmpl w:val="6BB0DFD4"/>
    <w:lvl w:ilvl="0" w:tplc="04090001">
      <w:start w:val="1"/>
      <w:numFmt w:val="bullet"/>
      <w:lvlText w:val=""/>
      <w:lvlJc w:val="left"/>
      <w:pPr>
        <w:ind w:left="720" w:hanging="360"/>
      </w:pPr>
      <w:rPr>
        <w:rFonts w:ascii="Symbol" w:hAnsi="Symbol" w:hint="default"/>
      </w:rPr>
    </w:lvl>
    <w:lvl w:ilvl="1" w:tplc="64988EE4">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C1112FC"/>
    <w:multiLevelType w:val="hybridMultilevel"/>
    <w:tmpl w:val="4102534C"/>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8128B8"/>
    <w:multiLevelType w:val="hybridMultilevel"/>
    <w:tmpl w:val="F04E66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48D"/>
    <w:rsid w:val="0007348D"/>
    <w:rsid w:val="000D2404"/>
    <w:rsid w:val="000F649E"/>
    <w:rsid w:val="001D5577"/>
    <w:rsid w:val="00200D3A"/>
    <w:rsid w:val="002E72E0"/>
    <w:rsid w:val="003E66A7"/>
    <w:rsid w:val="004377EA"/>
    <w:rsid w:val="004965A3"/>
    <w:rsid w:val="00527051"/>
    <w:rsid w:val="00594FF1"/>
    <w:rsid w:val="0062054A"/>
    <w:rsid w:val="006A3942"/>
    <w:rsid w:val="006E51B1"/>
    <w:rsid w:val="007C69D0"/>
    <w:rsid w:val="0081332D"/>
    <w:rsid w:val="008E6F36"/>
    <w:rsid w:val="009A7D7C"/>
    <w:rsid w:val="009D1391"/>
    <w:rsid w:val="00B34E82"/>
    <w:rsid w:val="00BB2235"/>
    <w:rsid w:val="00C45FCE"/>
    <w:rsid w:val="00C650DB"/>
    <w:rsid w:val="00CA6C6C"/>
    <w:rsid w:val="00DB3E96"/>
    <w:rsid w:val="00DF7536"/>
    <w:rsid w:val="00EB1A04"/>
    <w:rsid w:val="00EE5F22"/>
    <w:rsid w:val="00F1545B"/>
    <w:rsid w:val="00FA10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DFB8A"/>
  <w15:chartTrackingRefBased/>
  <w15:docId w15:val="{FB99CF88-A54F-4A6B-9A6B-93F5A7ACD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1545B"/>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C45FCE"/>
    <w:pPr>
      <w:ind w:left="720"/>
      <w:contextualSpacing/>
    </w:pPr>
  </w:style>
  <w:style w:type="table" w:styleId="TableGrid">
    <w:name w:val="Table Grid"/>
    <w:basedOn w:val="TableNormal"/>
    <w:uiPriority w:val="39"/>
    <w:rsid w:val="007C69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D5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5577"/>
  </w:style>
  <w:style w:type="paragraph" w:styleId="Footer">
    <w:name w:val="footer"/>
    <w:basedOn w:val="Normal"/>
    <w:link w:val="FooterChar"/>
    <w:uiPriority w:val="99"/>
    <w:unhideWhenUsed/>
    <w:rsid w:val="001D5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55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5021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Hp%20Folio%209480\Documents\BCA%20ki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BCA</a:t>
            </a:r>
            <a:r>
              <a:rPr lang="en-US" baseline="0"/>
              <a:t> Protein Kit</a:t>
            </a:r>
            <a:endParaRPr lang="en-US"/>
          </a:p>
        </c:rich>
      </c:tx>
      <c:overlay val="0"/>
    </c:title>
    <c:autoTitleDeleted val="0"/>
    <c:plotArea>
      <c:layout/>
      <c:scatterChart>
        <c:scatterStyle val="lineMarker"/>
        <c:varyColors val="0"/>
        <c:ser>
          <c:idx val="0"/>
          <c:order val="0"/>
          <c:tx>
            <c:strRef>
              <c:f>'[BCA kit.xlsx]Sheet1'!$C$19</c:f>
              <c:strCache>
                <c:ptCount val="1"/>
                <c:pt idx="0">
                  <c:v>average-blank</c:v>
                </c:pt>
              </c:strCache>
            </c:strRef>
          </c:tx>
          <c:spPr>
            <a:ln w="28575">
              <a:noFill/>
            </a:ln>
          </c:spPr>
          <c:trendline>
            <c:trendlineType val="linear"/>
            <c:dispRSqr val="0"/>
            <c:dispEq val="1"/>
            <c:trendlineLbl>
              <c:numFmt formatCode="General" sourceLinked="0"/>
            </c:trendlineLbl>
          </c:trendline>
          <c:xVal>
            <c:numRef>
              <c:f>'[BCA kit.xlsx]Sheet1'!$B$20:$B$27</c:f>
              <c:numCache>
                <c:formatCode>General</c:formatCode>
                <c:ptCount val="8"/>
                <c:pt idx="0">
                  <c:v>25</c:v>
                </c:pt>
                <c:pt idx="1">
                  <c:v>125</c:v>
                </c:pt>
                <c:pt idx="2">
                  <c:v>250</c:v>
                </c:pt>
                <c:pt idx="3">
                  <c:v>500</c:v>
                </c:pt>
                <c:pt idx="4">
                  <c:v>750</c:v>
                </c:pt>
                <c:pt idx="5">
                  <c:v>1000</c:v>
                </c:pt>
                <c:pt idx="6">
                  <c:v>1500</c:v>
                </c:pt>
                <c:pt idx="7">
                  <c:v>2000</c:v>
                </c:pt>
              </c:numCache>
            </c:numRef>
          </c:xVal>
          <c:yVal>
            <c:numRef>
              <c:f>'[BCA kit.xlsx]Sheet1'!$C$20:$C$27</c:f>
              <c:numCache>
                <c:formatCode>General</c:formatCode>
                <c:ptCount val="8"/>
                <c:pt idx="0">
                  <c:v>5.1499999999999997E-2</c:v>
                </c:pt>
                <c:pt idx="1">
                  <c:v>0.184</c:v>
                </c:pt>
                <c:pt idx="2">
                  <c:v>0.40749999999999997</c:v>
                </c:pt>
                <c:pt idx="3">
                  <c:v>0.61450000000000005</c:v>
                </c:pt>
                <c:pt idx="4">
                  <c:v>0.77</c:v>
                </c:pt>
                <c:pt idx="5">
                  <c:v>1.0265</c:v>
                </c:pt>
                <c:pt idx="6">
                  <c:v>1.7789999999999999</c:v>
                </c:pt>
                <c:pt idx="7">
                  <c:v>2.1360000000000001</c:v>
                </c:pt>
              </c:numCache>
            </c:numRef>
          </c:yVal>
          <c:smooth val="0"/>
          <c:extLst>
            <c:ext xmlns:c16="http://schemas.microsoft.com/office/drawing/2014/chart" uri="{C3380CC4-5D6E-409C-BE32-E72D297353CC}">
              <c16:uniqueId val="{00000001-B324-429D-9C1D-615FE6D44589}"/>
            </c:ext>
          </c:extLst>
        </c:ser>
        <c:dLbls>
          <c:showLegendKey val="0"/>
          <c:showVal val="0"/>
          <c:showCatName val="0"/>
          <c:showSerName val="0"/>
          <c:showPercent val="0"/>
          <c:showBubbleSize val="0"/>
        </c:dLbls>
        <c:axId val="118373376"/>
        <c:axId val="118572544"/>
      </c:scatterChart>
      <c:valAx>
        <c:axId val="118373376"/>
        <c:scaling>
          <c:orientation val="minMax"/>
        </c:scaling>
        <c:delete val="0"/>
        <c:axPos val="b"/>
        <c:majorGridlines/>
        <c:minorGridlines/>
        <c:title>
          <c:tx>
            <c:rich>
              <a:bodyPr/>
              <a:lstStyle/>
              <a:p>
                <a:pPr>
                  <a:defRPr/>
                </a:pPr>
                <a:r>
                  <a:rPr lang="en-US"/>
                  <a:t>standard concetration</a:t>
                </a:r>
                <a:r>
                  <a:rPr lang="en-US" baseline="0"/>
                  <a:t> (ug/ml)</a:t>
                </a:r>
                <a:endParaRPr lang="en-US"/>
              </a:p>
            </c:rich>
          </c:tx>
          <c:overlay val="0"/>
        </c:title>
        <c:numFmt formatCode="General" sourceLinked="1"/>
        <c:majorTickMark val="out"/>
        <c:minorTickMark val="none"/>
        <c:tickLblPos val="nextTo"/>
        <c:crossAx val="118572544"/>
        <c:crosses val="autoZero"/>
        <c:crossBetween val="midCat"/>
      </c:valAx>
      <c:valAx>
        <c:axId val="118572544"/>
        <c:scaling>
          <c:orientation val="minMax"/>
        </c:scaling>
        <c:delete val="0"/>
        <c:axPos val="l"/>
        <c:majorGridlines/>
        <c:minorGridlines/>
        <c:title>
          <c:tx>
            <c:rich>
              <a:bodyPr/>
              <a:lstStyle/>
              <a:p>
                <a:pPr>
                  <a:defRPr/>
                </a:pPr>
                <a:r>
                  <a:rPr lang="en-US"/>
                  <a:t>absorbance</a:t>
                </a:r>
              </a:p>
            </c:rich>
          </c:tx>
          <c:overlay val="0"/>
        </c:title>
        <c:numFmt formatCode="General" sourceLinked="1"/>
        <c:majorTickMark val="out"/>
        <c:minorTickMark val="none"/>
        <c:tickLblPos val="nextTo"/>
        <c:crossAx val="118373376"/>
        <c:crosses val="autoZero"/>
        <c:crossBetween val="midCat"/>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1211</Words>
  <Characters>6904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2021-09-30T00:24:00Z</dcterms:created>
  <dcterms:modified xsi:type="dcterms:W3CDTF">2021-09-30T00:24:00Z</dcterms:modified>
</cp:coreProperties>
</file>